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Quintino;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Pfleger;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Robson Borges;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Gambetta;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HectorOrtiz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Revisamos e definimos os riscos e marcos do projeto Sympto, estabelecendo datas de marcos entre 30/04/2024 e 25/05/2025. Discutimos estratégias para mitigar riscos relacionados à organização e fatores externos como clientes e regulamentações governamentais.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Saiba mais sobre lista dos marcos...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lista dos marcos contém os marcos do projeto.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Ela é criada no processo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Definir as atividades</w:t>
        </w:r>
      </w:hyperlink>
      <w:r w:rsidDel="00000000" w:rsidR="00000000" w:rsidRPr="00000000">
        <w:rPr>
          <w:rtl w:val="0"/>
        </w:rPr>
        <w:t xml:space="preserve">, identificando-se em cada fase, os momentos mais importantes do projeto.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Esse documento tem como objetivo documentar e apresentar cada fase do projeto com seus marcos e sua previsão.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Fases - Marcos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[Identifique para cada fase, seus marcos e sua previsão. Abaixo é apresentado um exemplo baseado na nossa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metodologia otimizada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nos grupos de processos de gerenciamento de projetos.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17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759"/>
        <w:tblGridChange w:id="0">
          <w:tblGrid>
            <w:gridCol w:w="1649"/>
            <w:gridCol w:w="6009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Linhas de Base de Custos, Prazo e Escopos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Execução, Monitoramento e Controle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Entrega validada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Contrato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Transição do Projeto para Operação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25/05/2025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Marcos André Quintino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30/04/2024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Marcos Andre Quintino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30/04/2024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4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740"/>
      <w:gridCol w:w="5302"/>
      <w:tblGridChange w:id="0">
        <w:tblGrid>
          <w:gridCol w:w="2740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dos Marcos</w:t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21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725"/>
      <w:tblGridChange w:id="0">
        <w:tblGrid>
          <w:gridCol w:w="6492"/>
          <w:gridCol w:w="1725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Lista dos Marcos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000162" cy="468000"/>
                <wp:effectExtent b="0" l="0" r="0" t="0"/>
                <wp:docPr descr="C:\Users\eduar\Google Drive\PMO do Edu\Portfolio de Projetos\Marketing Digital\Vilmar\logopmo-medio.png" id="1" name="image1.png"/>
                <a:graphic>
                  <a:graphicData uri="http://schemas.openxmlformats.org/drawingml/2006/picture">
                    <pic:pic>
                      <pic:nvPicPr>
                        <pic:cNvPr descr="C:\Users\eduar\Google Drive\PMO do Edu\Portfolio de Projetos\Marketing Digital\Vilmar\logopmo-medi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62" cy="46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Projeto: Sympto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lista-dos-marcos" TargetMode="External"/><Relationship Id="rId7" Type="http://schemas.openxmlformats.org/officeDocument/2006/relationships/hyperlink" Target="https://escritoriodeprojetos.com.br/definir-as-atividades" TargetMode="External"/><Relationship Id="rId8" Type="http://schemas.openxmlformats.org/officeDocument/2006/relationships/hyperlink" Target="https://escritoriodeprojetos.com.br/metodologia-pmo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