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40"/>
        <w:jc w:val="center"/>
      </w:pPr>
      <w:r>
        <w:rPr>
          <w:rFonts w:ascii="PMingLiU" w:hAnsi="PMingLiU" w:eastAsia="PMingLiU"/>
          <w:b/>
          <w:i w:val="0"/>
          <w:sz w:val="28"/>
          <w:u w:val="single"/>
        </w:rPr>
        <w:t>東方森煌古物鑑定所檢驗報告</w:t>
      </w:r>
    </w:p>
    <w:p>
      <w:pPr>
        <w:spacing w:before="20" w:after="40"/>
        <w:jc w:val="center"/>
      </w:pPr>
      <w:r>
        <w:rPr>
          <w:rFonts w:ascii="PMingLiU" w:hAnsi="PMingLiU" w:eastAsia="PMingLiU"/>
          <w:b/>
          <w:i w:val="0"/>
          <w:sz w:val="24"/>
          <w:u w:val="none"/>
        </w:rPr>
        <w:t>Asia SenHuang Authentication Analysis Report</w:t>
      </w:r>
    </w:p>
    <w:p>
      <w:pPr>
        <w:spacing w:before="20" w:after="40"/>
        <w:jc w:val="left"/>
      </w:pPr>
      <w:r>
        <w:rPr>
          <w:rFonts w:ascii="PMingLiU" w:hAnsi="PMingLiU" w:eastAsia="PMingLiU"/>
          <w:b w:val="0"/>
          <w:i w:val="0"/>
          <w:sz w:val="22"/>
          <w:u w:val="none"/>
        </w:rPr>
        <w:t>送驗編號 NO：{item_code}</w:t>
      </w:r>
    </w:p>
    <w:p>
      <w:pPr>
        <w:spacing w:before="20" w:after="40"/>
        <w:jc w:val="left"/>
      </w:pPr>
      <w:r>
        <w:rPr>
          <w:rFonts w:ascii="PMingLiU" w:hAnsi="PMingLiU" w:eastAsia="PMingLiU"/>
          <w:b w:val="0"/>
          <w:i w:val="0"/>
          <w:sz w:val="22"/>
          <w:u w:val="none"/>
        </w:rPr>
        <w:t>送檢日期 S Date：{submission_date}        報告日期 R Date：{report_date}</w:t>
      </w:r>
    </w:p>
    <w:p>
      <w:pPr>
        <w:spacing w:before="20" w:after="40"/>
        <w:jc w:val="left"/>
      </w:pPr>
      <w:r>
        <w:rPr>
          <w:rFonts w:ascii="PMingLiU" w:hAnsi="PMingLiU" w:eastAsia="PMingLiU"/>
          <w:b w:val="0"/>
          <w:i w:val="0"/>
          <w:sz w:val="22"/>
          <w:u w:val="none"/>
        </w:rPr>
        <w:t>顧客推估年代/形制 Presumed by customers：{presumed}</w:t>
      </w:r>
    </w:p>
    <w:p>
      <w:pPr>
        <w:spacing w:before="20" w:after="40"/>
        <w:jc w:val="left"/>
      </w:pPr>
      <w:r>
        <w:rPr>
          <w:rFonts w:ascii="PMingLiU" w:hAnsi="PMingLiU" w:eastAsia="PMingLiU"/>
          <w:b w:val="0"/>
          <w:i w:val="0"/>
          <w:sz w:val="22"/>
          <w:u w:val="none"/>
        </w:rPr>
        <w:t>送檢相關圖片 Item Pix：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trHeight w:val="4081" w:hRule="exact"/>
        </w:trPr>
        <w:tc>
          <w:tcPr>
            <w:tcW w:type="dxa" w:w="457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MingLiU" w:hAnsi="PMingLiU" w:eastAsia="PMingLiU"/>
                <w:b w:val="0"/>
                <w:i w:val="0"/>
                <w:sz w:val="22"/>
              </w:rPr>
              <w:t>{%photo_front}</w:t>
            </w:r>
          </w:p>
        </w:tc>
        <w:tc>
          <w:tcPr>
            <w:tcW w:type="dxa" w:w="4451"/>
            <w:gridSpan w:val="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MingLiU" w:hAnsi="PMingLiU" w:eastAsia="PMingLiU"/>
                <w:b w:val="0"/>
                <w:i w:val="0"/>
                <w:sz w:val="22"/>
              </w:rPr>
              <w:t>{%photo_xrf}</w:t>
            </w:r>
          </w:p>
        </w:tc>
      </w:tr>
      <w:tr>
        <w:trPr>
          <w:trHeight w:val="3798" w:hRule="exact"/>
        </w:trPr>
        <w:tc>
          <w:tcPr>
            <w:tcW w:type="dxa" w:w="457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MingLiU" w:hAnsi="PMingLiU" w:eastAsia="PMingLiU"/>
                <w:b w:val="0"/>
                <w:i w:val="0"/>
                <w:sz w:val="22"/>
              </w:rPr>
              <w:t>{%photo_micro1}</w:t>
            </w:r>
          </w:p>
        </w:tc>
        <w:tc>
          <w:tcPr>
            <w:tcW w:type="dxa" w:w="4451"/>
            <w:gridSpan w:val="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MingLiU" w:hAnsi="PMingLiU" w:eastAsia="PMingLiU"/>
                <w:b w:val="0"/>
                <w:i w:val="0"/>
                <w:sz w:val="22"/>
              </w:rPr>
              <w:t>{%photo_micro2}</w:t>
            </w:r>
          </w:p>
        </w:tc>
      </w:tr>
      <w:tr>
        <w:tc>
          <w:tcPr>
            <w:tcW w:type="dxa" w:w="6843"/>
            <w:gridSpan w:val="2"/>
            <w:vAlign w:val="top"/>
          </w:tcPr>
          <w:p>
            <w:pPr>
              <w:spacing w:before="40" w:after="40"/>
            </w:pPr>
            <w:r>
              <w:rPr>
                <w:rFonts w:ascii="PMingLiU" w:hAnsi="PMingLiU" w:eastAsia="PMingLiU"/>
                <w:b w:val="0"/>
                <w:i w:val="0"/>
                <w:sz w:val="22"/>
              </w:rPr>
              <w:t>尺寸 Size：mm</w:t>
              <w:br/>
            </w:r>
            <w:r>
              <w:rPr>
                <w:rFonts w:ascii="PMingLiU" w:hAnsi="PMingLiU" w:eastAsia="PMingLiU"/>
                <w:b w:val="0"/>
                <w:i w:val="0"/>
                <w:sz w:val="22"/>
              </w:rPr>
              <w:t>{size}</w:t>
            </w:r>
          </w:p>
        </w:tc>
        <w:tc>
          <w:tcPr>
            <w:tcW w:type="dxa" w:w="2183"/>
            <w:vAlign w:val="top"/>
          </w:tcPr>
          <w:p>
            <w:pPr>
              <w:spacing w:before="40" w:after="40"/>
            </w:pPr>
            <w:r>
              <w:rPr>
                <w:rFonts w:ascii="PMingLiU" w:hAnsi="PMingLiU" w:eastAsia="PMingLiU"/>
                <w:b w:val="0"/>
                <w:i w:val="0"/>
                <w:sz w:val="22"/>
              </w:rPr>
              <w:t>重量 Weight：gram</w:t>
              <w:br/>
            </w:r>
            <w:r>
              <w:rPr>
                <w:rFonts w:ascii="PMingLiU" w:hAnsi="PMingLiU" w:eastAsia="PMingLiU"/>
                <w:b w:val="0"/>
                <w:i w:val="0"/>
                <w:sz w:val="22"/>
              </w:rPr>
              <w:t>{weight}</w:t>
            </w:r>
          </w:p>
        </w:tc>
      </w:tr>
      <w:tr>
        <w:tc>
          <w:tcPr>
            <w:tcW w:type="dxa" w:w="4575"/>
            <w:vAlign w:val="top"/>
          </w:tcPr>
          <w:p>
            <w:pPr>
              <w:spacing w:before="40" w:after="40"/>
            </w:pPr>
            <w:r>
              <w:rPr>
                <w:rFonts w:ascii="PMingLiU" w:hAnsi="PMingLiU" w:eastAsia="PMingLiU"/>
                <w:b w:val="0"/>
                <w:i w:val="0"/>
                <w:sz w:val="22"/>
              </w:rPr>
              <w:t>材質 Material：</w:t>
              <w:br/>
            </w:r>
            <w:r>
              <w:rPr>
                <w:rFonts w:ascii="PMingLiU" w:hAnsi="PMingLiU" w:eastAsia="PMingLiU"/>
                <w:b w:val="0"/>
                <w:i w:val="0"/>
                <w:sz w:val="22"/>
              </w:rPr>
              <w:t>{material}</w:t>
            </w:r>
          </w:p>
        </w:tc>
        <w:tc>
          <w:tcPr>
            <w:tcW w:type="dxa" w:w="4451"/>
            <w:gridSpan w:val="2"/>
            <w:vAlign w:val="top"/>
          </w:tcPr>
          <w:p>
            <w:pPr>
              <w:spacing w:before="40" w:after="40"/>
            </w:pPr>
            <w:r>
              <w:rPr>
                <w:rFonts w:ascii="PMingLiU" w:hAnsi="PMingLiU" w:eastAsia="PMingLiU"/>
                <w:b w:val="0"/>
                <w:i w:val="0"/>
                <w:sz w:val="22"/>
              </w:rPr>
              <w:t>形制 Category：</w:t>
              <w:br/>
            </w:r>
            <w:r>
              <w:rPr>
                <w:rFonts w:ascii="PMingLiU" w:hAnsi="PMingLiU" w:eastAsia="PMingLiU"/>
                <w:b w:val="0"/>
                <w:i w:val="0"/>
                <w:sz w:val="22"/>
              </w:rPr>
              <w:t>{category}</w:t>
            </w:r>
          </w:p>
        </w:tc>
      </w:tr>
      <w:tr>
        <w:tc>
          <w:tcPr>
            <w:tcW w:type="dxa" w:w="9026"/>
            <w:gridSpan w:val="3"/>
            <w:vAlign w:val="top"/>
          </w:tcPr>
          <w:p>
            <w:pPr>
              <w:spacing w:before="40" w:after="40"/>
            </w:pPr>
            <w:r>
              <w:rPr>
                <w:rFonts w:ascii="PMingLiU" w:hAnsi="PMingLiU" w:eastAsia="PMingLiU"/>
                <w:b w:val="0"/>
                <w:i w:val="0"/>
                <w:sz w:val="22"/>
              </w:rPr>
              <w:t>鑑定說明 Description：</w:t>
              <w:br/>
            </w:r>
            <w:r>
              <w:rPr>
                <w:rFonts w:ascii="PMingLiU" w:hAnsi="PMingLiU" w:eastAsia="PMingLiU"/>
                <w:b w:val="0"/>
                <w:i w:val="0"/>
                <w:sz w:val="22"/>
              </w:rPr>
              <w:t>{description}</w:t>
            </w:r>
          </w:p>
        </w:tc>
      </w:tr>
      <w:tr>
        <w:tc>
          <w:tcPr>
            <w:tcW w:type="dxa" w:w="6843"/>
            <w:gridSpan w:val="2"/>
            <w:vAlign w:val="top"/>
          </w:tcPr>
          <w:p>
            <w:pPr>
              <w:spacing w:before="40" w:after="40"/>
            </w:pPr>
            <w:r>
              <w:rPr>
                <w:rFonts w:ascii="PMingLiU" w:hAnsi="PMingLiU" w:eastAsia="PMingLiU"/>
                <w:b/>
                <w:i w:val="0"/>
                <w:sz w:val="22"/>
              </w:rPr>
              <w:t>鑑定結果 Result：</w:t>
              <w:br/>
            </w:r>
            <w:r>
              <w:rPr>
                <w:rFonts w:ascii="PMingLiU" w:hAnsi="PMingLiU" w:eastAsia="PMingLiU"/>
                <w:b w:val="0"/>
                <w:i w:val="0"/>
                <w:sz w:val="22"/>
              </w:rPr>
              <w:t>{result}</w:t>
            </w:r>
          </w:p>
        </w:tc>
        <w:tc>
          <w:tcPr>
            <w:tcW w:type="dxa" w:w="2183"/>
            <w:vAlign w:val="top"/>
          </w:tcPr>
          <w:p>
            <w:pPr>
              <w:spacing w:before="40" w:after="40"/>
            </w:pPr>
            <w:r>
              <w:rPr>
                <w:rFonts w:ascii="PMingLiU" w:hAnsi="PMingLiU" w:eastAsia="PMingLiU"/>
                <w:b w:val="0"/>
                <w:i w:val="0"/>
                <w:sz w:val="22"/>
              </w:rPr>
              <w:t>備註 Note：</w:t>
              <w:br/>
            </w:r>
            <w:r>
              <w:rPr>
                <w:rFonts w:ascii="PMingLiU" w:hAnsi="PMingLiU" w:eastAsia="PMingLiU"/>
                <w:b w:val="0"/>
                <w:i w:val="0"/>
                <w:sz w:val="22"/>
              </w:rPr>
              <w:t>{note}</w:t>
            </w:r>
          </w:p>
        </w:tc>
      </w:tr>
    </w:tbl>
    <w:p>
      <w:pPr>
        <w:spacing w:before="120" w:after="0"/>
        <w:jc w:val="center"/>
        <w:pBdr>
          <w:top w:val="single" w:sz="4" w:color="DDDDDD"/>
        </w:pBdr>
      </w:pPr>
      <w:r>
        <w:rPr>
          <w:rFonts w:ascii="PMingLiU" w:hAnsi="PMingLiU" w:eastAsia="PMingLiU"/>
          <w:b w:val="0"/>
          <w:i w:val="0"/>
          <w:color w:val="888888"/>
          <w:sz w:val="18"/>
        </w:rPr>
        <w:t>TEL: +8862-82602664  ｜  Web: www.senhuang.org  ｜  Email: info@senhuang.org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