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aps/>
          <w:sz w:val="24"/>
          <w:szCs w:val="24"/>
        </w:rPr>
        <w:t xml:space="preserve">CHAPTER TWO</w:t>
      </w:r>
    </w:p>
    <w:p>
      <w:pPr>
        <w:pStyle w:val="Heading1"/>
        <w:spacing w:after="120" w:before="240"/>
        <w:jc w:val="center"/>
      </w:pPr>
      <w:r>
        <w:rPr>
          <w:rFonts w:ascii="Times New Roman" w:cs="Times New Roman" w:eastAsia="Times New Roman" w:hAnsi="Times New Roman"/>
          <w:b/>
          <w:bCs/>
          <w:caps/>
          <w:sz w:val="24"/>
          <w:szCs w:val="24"/>
        </w:rPr>
        <w:t xml:space="preserve">LITERATURE REVIEW</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2.0 Introduction</w:t>
      </w:r>
    </w:p>
    <w:p>
      <w:pPr>
        <w:spacing w:after="160" w:before="0" w:line="480"/>
        <w:jc w:val="both"/>
      </w:pPr>
      <w:r>
        <w:rPr>
          <w:rFonts w:ascii="Times New Roman" w:cs="Times New Roman" w:eastAsia="Times New Roman" w:hAnsi="Times New Roman"/>
          <w:sz w:val="24"/>
          <w:szCs w:val="24"/>
        </w:rPr>
        <w:t xml:space="preserve">This chapter presents a review of existing literature relevant to the study. It covers the conceptual review of artificial intelligence, its historical development, types of AI tools used in education, the role of AI in healthcare and nursing education, awareness and utilization of AI tools among students, and perceived benefits of AI tools. The chapter also presents the theoretical framework guiding the study and an empirical review of related studies.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2.1 Conceptual Review</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2.1.1 Concept of Artificial Intelligence</w:t>
      </w:r>
    </w:p>
    <w:p>
      <w:pPr>
        <w:spacing w:after="160" w:before="0" w:line="480"/>
        <w:jc w:val="both"/>
      </w:pPr>
      <w:r>
        <w:rPr>
          <w:rFonts w:ascii="Times New Roman" w:cs="Times New Roman" w:eastAsia="Times New Roman" w:hAnsi="Times New Roman"/>
          <w:sz w:val="24"/>
          <w:szCs w:val="24"/>
        </w:rPr>
        <w:t xml:space="preserve">Artificial intelligence (AI) is a branch of computer science concerned with the development of systems capable of performing tasks that ordinarily require human intelligence. These tasks include learning from experience, understanding natural language, recognizing patterns, solving problems, and making decisions (Russell &amp; Norvig, 2021). AI can be broadly classified into narrow AI, which performs specific tasks such as text generation or language translation, and general AI, which remains theoretical. Most tools currently available — including ChatGPT, Claude, and Gemini — are narrow AI systems. In this study, AI refers to such narrow AI tools accessible to student nurses for academic purposes.</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2.1.2 Historical Development of Artificial Intelligence</w:t>
      </w:r>
    </w:p>
    <w:p>
      <w:pPr>
        <w:spacing w:after="160" w:before="0" w:line="480"/>
        <w:jc w:val="both"/>
      </w:pPr>
      <w:r>
        <w:rPr>
          <w:rFonts w:ascii="Times New Roman" w:cs="Times New Roman" w:eastAsia="Times New Roman" w:hAnsi="Times New Roman"/>
          <w:sz w:val="24"/>
          <w:szCs w:val="24"/>
        </w:rPr>
        <w:t xml:space="preserve">The concept of artificial intelligence dates to 1950, when British mathematician Alan Turing proposed the idea of a machine capable of simulating human intelligence, introducing what became known as the Turing Test. In 1956, the term 'artificial intelligence' was formally coined by John McCarthy at the Dartmouth Conference. Early AI research in the 1960s and 1970s focused on symbolic reasoning, but progress slowed due to limited computing power, leading to periods known as 'AI winters.'</w:t>
      </w:r>
    </w:p>
    <w:p>
      <w:pPr>
        <w:spacing w:after="160" w:before="0" w:line="480"/>
        <w:jc w:val="both"/>
      </w:pPr>
      <w:r>
        <w:rPr>
          <w:rFonts w:ascii="Times New Roman" w:cs="Times New Roman" w:eastAsia="Times New Roman" w:hAnsi="Times New Roman"/>
          <w:sz w:val="24"/>
          <w:szCs w:val="24"/>
        </w:rPr>
        <w:t xml:space="preserve">Resurgence began in the 1990s and accelerated in the 2000s with machine learning and deep learning advances. The launch of large language models such as GPT-3 in 2020 and ChatGPT in late 2022 marked a turning point, bringing conversational AI tools within reach of everyday users including students and healthcare professionals globally.</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2.1.3 Types of Artificial Intelligence Tools Used in Education</w:t>
      </w:r>
    </w:p>
    <w:p>
      <w:pPr>
        <w:spacing w:after="160" w:before="0" w:line="480"/>
        <w:jc w:val="both"/>
      </w:pPr>
      <w:r>
        <w:rPr>
          <w:rFonts w:ascii="Times New Roman" w:cs="Times New Roman" w:eastAsia="Times New Roman" w:hAnsi="Times New Roman"/>
          <w:sz w:val="24"/>
          <w:szCs w:val="24"/>
        </w:rPr>
        <w:t xml:space="preserve">A variety of AI tools have emerged as valuable academic resources. ChatGPT, developed by OpenAI, generates contextually relevant responses to queries and is widely used for explaining concepts, generating essay outlines, and summarizing texts. Claude, developed by Anthropic, assists students with research, writing, and academic problem-solving with a focus on safety and helpfulness. Google Gemini integrates with Google's ecosystem to provide research support and content summarization. Microsoft Copilot assists with document writing and presentation creation within Microsoft 365 applications. Grammarly checks grammar, spelling, punctuation, and style in real time. Perplexity AI synthesizes referenced answers from multiple sources, making it a valuable research tool for students.</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2.1.4 Artificial Intelligence in Healthcare</w:t>
      </w:r>
    </w:p>
    <w:p>
      <w:pPr>
        <w:spacing w:after="160" w:before="0" w:line="480"/>
        <w:jc w:val="both"/>
      </w:pPr>
      <w:r>
        <w:rPr>
          <w:rFonts w:ascii="Times New Roman" w:cs="Times New Roman" w:eastAsia="Times New Roman" w:hAnsi="Times New Roman"/>
          <w:sz w:val="24"/>
          <w:szCs w:val="24"/>
        </w:rPr>
        <w:t xml:space="preserve">AI systems are now applied in clinical diagnosis, medical imaging analysis, drug discovery, patient monitoring, and administrative tasks (Topol, 2019). AI algorithms have demonstrated accuracy comparable to experienced clinicians in detecting conditions such as cancer, diabetic retinopathy, and cardiovascular disease. AI also predicts patient outcomes, personalizes treatment plans, and reduces medication errors. For healthcare students, AI tools serve as learning and reference resources, enabling review of clinical guidelines, pharmacological interactions, and simulated clinical reasoning (Sallam et al., 2023).</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2.1.5 Artificial Intelligence in Nursing Education</w:t>
      </w:r>
    </w:p>
    <w:p>
      <w:pPr>
        <w:spacing w:after="160" w:before="0" w:line="480"/>
        <w:jc w:val="both"/>
      </w:pPr>
      <w:r>
        <w:rPr>
          <w:rFonts w:ascii="Times New Roman" w:cs="Times New Roman" w:eastAsia="Times New Roman" w:hAnsi="Times New Roman"/>
          <w:sz w:val="24"/>
          <w:szCs w:val="24"/>
        </w:rPr>
        <w:t xml:space="preserve">Nursing education requires mastery of a broad and complex curriculum. AI tools offer nursing students supplementary learning by providing instant access to information and explanations at any time. Studies have documented growing use of AI tools among nursing students for simplifying clinical concepts, care plan writing, examination preparation, and literature searches (Sallam et al., 2023). In Nigeria, adoption of AI tools in nursing education is still emerging, with factors such as internet access, smartphone availability, and digital literacy influencing engagement (Adeshola &amp; Adepoju, 2023).</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2.1.6 Awareness of Artificial Intelligence Tools Among Students</w:t>
      </w:r>
    </w:p>
    <w:p>
      <w:pPr>
        <w:spacing w:after="160" w:before="0" w:line="480"/>
        <w:jc w:val="both"/>
      </w:pPr>
      <w:r>
        <w:rPr>
          <w:rFonts w:ascii="Times New Roman" w:cs="Times New Roman" w:eastAsia="Times New Roman" w:hAnsi="Times New Roman"/>
          <w:sz w:val="24"/>
          <w:szCs w:val="24"/>
        </w:rPr>
        <w:t xml:space="preserve">Awareness is a prerequisite for technology adoption. In higher-income countries, AI awareness among students tends to be high due to widespread internet access. In contrast, studies in low- and middle-income countries including Nigeria suggest lower awareness, particularly among professional training students such as nurses (Adeshola &amp; Adepoju, 2023). Awareness is also influenced by peer networks, social media exposure, and whether educators incorporate discussions of AI into teaching (Okonkwo &amp; Ade-Ibijola, 2021).</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2.1.7 Utilization of Artificial Intelligence Tools in Learning</w:t>
      </w:r>
    </w:p>
    <w:p>
      <w:pPr>
        <w:spacing w:after="160" w:before="0" w:line="480"/>
        <w:jc w:val="both"/>
      </w:pPr>
      <w:r>
        <w:rPr>
          <w:rFonts w:ascii="Times New Roman" w:cs="Times New Roman" w:eastAsia="Times New Roman" w:hAnsi="Times New Roman"/>
          <w:sz w:val="24"/>
          <w:szCs w:val="24"/>
        </w:rPr>
        <w:t xml:space="preserve">Even among students aware of AI tools, frequency and nature of utilization varies widely (Okonkwo &amp; Ade-Ibijola, 2021). Common uses include generating summaries of textbook chapters, obtaining explanations of difficult concepts, drafting and editing assignments, preparing for examinations, and conducting literature searches (Bahroun et al., 2023). For nursing students, AI tools are also used to understand clinical procedures, review drug dosages, and explore case-based scenarios (Sallam et al., 2023). Barriers to utilization include lack of awareness, poor internet connectivity, concerns about academic integrity, and limited digital literacy.</w:t>
      </w:r>
    </w:p>
    <w:p>
      <w:pPr>
        <w:spacing w:after="0" w:before="0"/>
      </w:pPr>
      <w:r>
        <w:t xml:space="preserve"/>
      </w:r>
    </w:p>
    <w:p>
      <w:pPr>
        <w:pStyle w:val="Heading3"/>
        <w:spacing w:after="80" w:before="160"/>
        <w:jc w:val="left"/>
      </w:pPr>
      <w:r>
        <w:rPr>
          <w:rFonts w:ascii="Times New Roman" w:cs="Times New Roman" w:eastAsia="Times New Roman" w:hAnsi="Times New Roman"/>
          <w:b/>
          <w:bCs/>
          <w:sz w:val="24"/>
          <w:szCs w:val="24"/>
        </w:rPr>
        <w:t xml:space="preserve">2.1.8 Perceived Benefits of Artificial Intelligence Tools</w:t>
      </w:r>
    </w:p>
    <w:p>
      <w:pPr>
        <w:spacing w:after="160" w:before="0" w:line="480"/>
        <w:jc w:val="both"/>
      </w:pPr>
      <w:r>
        <w:rPr>
          <w:rFonts w:ascii="Times New Roman" w:cs="Times New Roman" w:eastAsia="Times New Roman" w:hAnsi="Times New Roman"/>
          <w:sz w:val="24"/>
          <w:szCs w:val="24"/>
        </w:rPr>
        <w:t xml:space="preserve">Perceived benefits refer to positive outcomes students believe they gain from using AI tools. Commonly reported benefits include improved access to information, enhanced understanding of complex topics, time efficiency, improved writing quality, and increased academic confidence (Bahroun et al., 2023). Nursing students specifically perceive AI tools as beneficial in simplifying clinical terminologies, answering pharmacological questions quickly, and supporting care plan development (Sallam et al., 2023). In resource-constrained environments such as Nigerian nursing schools, AI tools are perceived as especially valuable when access to instructors or library resources is limited (Adeshola &amp; Adepoju, 2023).</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2.2 Theoretical Framework</w:t>
      </w:r>
    </w:p>
    <w:p>
      <w:pPr>
        <w:spacing w:after="160" w:before="0" w:line="480"/>
        <w:jc w:val="both"/>
      </w:pPr>
      <w:r>
        <w:rPr>
          <w:rFonts w:ascii="Times New Roman" w:cs="Times New Roman" w:eastAsia="Times New Roman" w:hAnsi="Times New Roman"/>
          <w:sz w:val="24"/>
          <w:szCs w:val="24"/>
        </w:rPr>
        <w:t xml:space="preserve">This study is guided by the Technology Acceptance Model (TAM), originally proposed by Fred Davis in 1989. TAM is one of the most widely used theoretical frameworks for explaining and predicting the acceptance and use of information technology by individuals (Davis, 1989). Derived from the Theory of Reasoned Action, the model postulates that two primary factors determine a user's intention to adopt a new technology: perceived usefulness and perceived ease of use.</w:t>
      </w:r>
    </w:p>
    <w:p>
      <w:pPr>
        <w:spacing w:after="160" w:before="0" w:line="480"/>
        <w:jc w:val="both"/>
      </w:pPr>
      <w:r>
        <w:rPr>
          <w:rFonts w:ascii="Times New Roman" w:cs="Times New Roman" w:eastAsia="Times New Roman" w:hAnsi="Times New Roman"/>
          <w:sz w:val="24"/>
          <w:szCs w:val="24"/>
        </w:rPr>
        <w:t xml:space="preserve">Perceived usefulness is defined as the degree to which a person believes that using a particular system would enhance their performance (Davis, 1989). In this study, it corresponds to student nurses' belief that AI tools will improve their academic performance and learning outcomes. Perceived ease of use refers to the degree to which a person believes that using the technology will require minimal effort. Student nurses who find AI tools easy to navigate are more likely to adopt and sustain their use.</w:t>
      </w:r>
    </w:p>
    <w:p>
      <w:pPr>
        <w:spacing w:after="160" w:before="0" w:line="480"/>
        <w:jc w:val="both"/>
      </w:pPr>
      <w:r>
        <w:rPr>
          <w:rFonts w:ascii="Times New Roman" w:cs="Times New Roman" w:eastAsia="Times New Roman" w:hAnsi="Times New Roman"/>
          <w:sz w:val="24"/>
          <w:szCs w:val="24"/>
        </w:rPr>
        <w:t xml:space="preserve">According to TAM, perceived ease of use influences perceived usefulness, and both jointly determine the user's attitude toward using the technology. This attitude shapes behavioural intention to use, which in turn determines actual system use. The model is illustrated in Figure 2.1 below.</w:t>
      </w:r>
    </w:p>
    <w:p>
      <w:pPr>
        <w:spacing w:after="0" w:before="0"/>
      </w:pPr>
      <w:r>
        <w:t xml:space="preserve"/>
      </w:r>
    </w:p>
    <w:p>
      <w:pPr>
        <w:spacing w:after="80" w:before="0" w:line="360"/>
        <w:jc w:val="center"/>
      </w:pPr>
      <w:r>
        <w:rPr>
          <w:rFonts w:ascii="Times New Roman" w:cs="Times New Roman" w:eastAsia="Times New Roman" w:hAnsi="Times New Roman"/>
          <w:b/>
          <w:bCs/>
          <w:sz w:val="24"/>
          <w:szCs w:val="24"/>
        </w:rPr>
        <w:t xml:space="preserve">Figure 2.1: Technology Acceptance Model (Davis, 1989) — Adapted for this Study</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000000" w:sz="6"/>
              <w:left w:val="single" w:color="000000" w:sz="6"/>
              <w:bottom w:val="single" w:color="000000" w:sz="6"/>
              <w:right w:val="single" w:color="000000" w:sz="6"/>
            </w:tcBorders>
            <w:shd w:fill="FFF2CC" w:val="clear"/>
            <w:tcMar>
              <w:top w:type="dxa" w:w="120"/>
              <w:left w:type="dxa" w:w="150"/>
              <w:bottom w:type="dxa" w:w="120"/>
              <w:right w:type="dxa" w:w="150"/>
            </w:tcMar>
            <w:vAlign w:val="center"/>
          </w:tcPr>
          <w:p>
            <w:pPr>
              <w:jc w:val="center"/>
            </w:pPr>
            <w:r>
              <w:rPr>
                <w:rFonts w:ascii="Times New Roman" w:cs="Times New Roman" w:eastAsia="Times New Roman" w:hAnsi="Times New Roman"/>
                <w:b/>
                <w:bCs/>
                <w:sz w:val="20"/>
                <w:szCs w:val="20"/>
              </w:rPr>
              <w:t xml:space="preserve">External
Variables</w:t>
            </w:r>
          </w:p>
        </w:tc>
        <w:tc>
          <w:tcPr>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pPr>
              <w:jc w:val="center"/>
            </w:pPr>
            <w:r>
              <w:rPr>
                <w:rFonts w:ascii="Times New Roman" w:cs="Times New Roman" w:eastAsia="Times New Roman" w:hAnsi="Times New Roman"/>
                <w:b/>
                <w:bCs/>
                <w:sz w:val="28"/>
                <w:szCs w:val="28"/>
              </w:rPr>
              <w:t xml:space="preserve">→</w:t>
            </w:r>
          </w:p>
        </w:tc>
        <w:tc>
          <w:tcPr>
            <w:tcBorders>
              <w:top w:val="single" w:color="000000" w:sz="6"/>
              <w:left w:val="single" w:color="000000" w:sz="6"/>
              <w:bottom w:val="single" w:color="000000" w:sz="6"/>
              <w:right w:val="single" w:color="000000" w:sz="6"/>
            </w:tcBorders>
            <w:shd w:fill="DAEEF3" w:val="clear"/>
            <w:tcMar>
              <w:top w:type="dxa" w:w="120"/>
              <w:left w:type="dxa" w:w="150"/>
              <w:bottom w:type="dxa" w:w="120"/>
              <w:right w:type="dxa" w:w="150"/>
            </w:tcMar>
            <w:vAlign w:val="center"/>
          </w:tcPr>
          <w:p>
            <w:pPr>
              <w:jc w:val="center"/>
            </w:pPr>
            <w:r>
              <w:rPr>
                <w:rFonts w:ascii="Times New Roman" w:cs="Times New Roman" w:eastAsia="Times New Roman" w:hAnsi="Times New Roman"/>
                <w:b/>
                <w:bCs/>
                <w:sz w:val="20"/>
                <w:szCs w:val="20"/>
              </w:rPr>
              <w:t xml:space="preserve">Perceived
Usefulness</w:t>
            </w:r>
          </w:p>
        </w:tc>
        <w:tc>
          <w:tcPr>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pPr>
              <w:jc w:val="center"/>
            </w:pPr>
            <w:r>
              <w:rPr>
                <w:rFonts w:ascii="Times New Roman" w:cs="Times New Roman" w:eastAsia="Times New Roman" w:hAnsi="Times New Roman"/>
                <w:b/>
                <w:bCs/>
                <w:sz w:val="28"/>
                <w:szCs w:val="28"/>
              </w:rPr>
              <w:t xml:space="preserve">→</w:t>
            </w:r>
          </w:p>
        </w:tc>
        <w:tc>
          <w:tcPr>
            <w:tcBorders>
              <w:top w:val="single" w:color="000000" w:sz="6"/>
              <w:left w:val="single" w:color="000000" w:sz="6"/>
              <w:bottom w:val="single" w:color="000000" w:sz="6"/>
              <w:right w:val="single" w:color="000000" w:sz="6"/>
            </w:tcBorders>
            <w:shd w:fill="E2EFDA" w:val="clear"/>
            <w:tcMar>
              <w:top w:type="dxa" w:w="120"/>
              <w:left w:type="dxa" w:w="150"/>
              <w:bottom w:type="dxa" w:w="120"/>
              <w:right w:type="dxa" w:w="150"/>
            </w:tcMar>
            <w:vAlign w:val="center"/>
          </w:tcPr>
          <w:p>
            <w:pPr>
              <w:jc w:val="center"/>
            </w:pPr>
            <w:r>
              <w:rPr>
                <w:rFonts w:ascii="Times New Roman" w:cs="Times New Roman" w:eastAsia="Times New Roman" w:hAnsi="Times New Roman"/>
                <w:b/>
                <w:bCs/>
                <w:sz w:val="20"/>
                <w:szCs w:val="20"/>
              </w:rPr>
              <w:t xml:space="preserve">Attitude
Toward
Using</w:t>
            </w:r>
          </w:p>
        </w:tc>
        <w:tc>
          <w:tcPr>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pPr>
              <w:jc w:val="center"/>
            </w:pPr>
            <w:r>
              <w:rPr>
                <w:rFonts w:ascii="Times New Roman" w:cs="Times New Roman" w:eastAsia="Times New Roman" w:hAnsi="Times New Roman"/>
                <w:b/>
                <w:bCs/>
                <w:sz w:val="28"/>
                <w:szCs w:val="28"/>
              </w:rPr>
              <w:t xml:space="preserve">→</w:t>
            </w:r>
          </w:p>
        </w:tc>
        <w:tc>
          <w:tcPr>
            <w:tcBorders>
              <w:top w:val="single" w:color="000000" w:sz="6"/>
              <w:left w:val="single" w:color="000000" w:sz="6"/>
              <w:bottom w:val="single" w:color="000000" w:sz="6"/>
              <w:right w:val="single" w:color="000000" w:sz="6"/>
            </w:tcBorders>
            <w:shd w:fill="FCE4D6" w:val="clear"/>
            <w:tcMar>
              <w:top w:type="dxa" w:w="120"/>
              <w:left w:type="dxa" w:w="150"/>
              <w:bottom w:type="dxa" w:w="120"/>
              <w:right w:type="dxa" w:w="150"/>
            </w:tcMar>
            <w:vAlign w:val="center"/>
          </w:tcPr>
          <w:p>
            <w:pPr>
              <w:jc w:val="center"/>
            </w:pPr>
            <w:r>
              <w:rPr>
                <w:rFonts w:ascii="Times New Roman" w:cs="Times New Roman" w:eastAsia="Times New Roman" w:hAnsi="Times New Roman"/>
                <w:b/>
                <w:bCs/>
                <w:sz w:val="20"/>
                <w:szCs w:val="20"/>
              </w:rPr>
              <w:t xml:space="preserve">Behavioural
Intention
to Use</w:t>
            </w:r>
          </w:p>
        </w:tc>
        <w:tc>
          <w:tcPr>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pPr>
              <w:jc w:val="center"/>
            </w:pPr>
            <w:r>
              <w:rPr>
                <w:rFonts w:ascii="Times New Roman" w:cs="Times New Roman" w:eastAsia="Times New Roman" w:hAnsi="Times New Roman"/>
                <w:b/>
                <w:bCs/>
                <w:sz w:val="28"/>
                <w:szCs w:val="28"/>
              </w:rPr>
              <w:t xml:space="preserve">→</w:t>
            </w:r>
          </w:p>
        </w:tc>
        <w:tc>
          <w:tcPr>
            <w:tcBorders>
              <w:top w:val="single" w:color="000000" w:sz="6"/>
              <w:left w:val="single" w:color="000000" w:sz="6"/>
              <w:bottom w:val="single" w:color="000000" w:sz="6"/>
              <w:right w:val="single" w:color="000000" w:sz="6"/>
            </w:tcBorders>
            <w:shd w:fill="D9D2E9" w:val="clear"/>
            <w:tcMar>
              <w:top w:type="dxa" w:w="120"/>
              <w:left w:type="dxa" w:w="150"/>
              <w:bottom w:type="dxa" w:w="120"/>
              <w:right w:type="dxa" w:w="150"/>
            </w:tcMar>
            <w:vAlign w:val="center"/>
          </w:tcPr>
          <w:p>
            <w:pPr>
              <w:jc w:val="center"/>
            </w:pPr>
            <w:r>
              <w:rPr>
                <w:rFonts w:ascii="Times New Roman" w:cs="Times New Roman" w:eastAsia="Times New Roman" w:hAnsi="Times New Roman"/>
                <w:b/>
                <w:bCs/>
                <w:sz w:val="20"/>
                <w:szCs w:val="20"/>
              </w:rPr>
              <w:t xml:space="preserve">Actual
System
Use</w:t>
            </w:r>
          </w:p>
        </w:tc>
      </w:tr>
      <w:tr>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pPr>
              <w:jc w:val="center"/>
            </w:pPr>
            <w:r>
              <w:rPr>
                <w:rFonts w:ascii="Times New Roman" w:cs="Times New Roman" w:eastAsia="Times New Roman" w:hAnsi="Times New Roman"/>
                <w:b/>
                <w:bCs/>
                <w:sz w:val="28"/>
                <w:szCs w:val="28"/>
              </w:rPr>
              <w:t xml:space="preserve">↘</w:t>
            </w:r>
          </w:p>
        </w:tc>
        <w:tc>
          <w:tcPr>
            <w:tcBorders>
              <w:top w:val="single" w:color="000000" w:sz="6"/>
              <w:left w:val="single" w:color="000000" w:sz="6"/>
              <w:bottom w:val="single" w:color="000000" w:sz="6"/>
              <w:right w:val="single" w:color="000000" w:sz="6"/>
            </w:tcBorders>
            <w:shd w:fill="DAEEF3" w:val="clear"/>
            <w:tcMar>
              <w:top w:type="dxa" w:w="120"/>
              <w:left w:type="dxa" w:w="150"/>
              <w:bottom w:type="dxa" w:w="120"/>
              <w:right w:type="dxa" w:w="150"/>
            </w:tcMar>
            <w:vAlign w:val="center"/>
          </w:tcPr>
          <w:p>
            <w:pPr>
              <w:jc w:val="center"/>
            </w:pPr>
            <w:r>
              <w:rPr>
                <w:rFonts w:ascii="Times New Roman" w:cs="Times New Roman" w:eastAsia="Times New Roman" w:hAnsi="Times New Roman"/>
                <w:b/>
                <w:bCs/>
                <w:sz w:val="20"/>
                <w:szCs w:val="20"/>
              </w:rPr>
              <w:t xml:space="preserve">Perceived
Ease of Use</w:t>
            </w:r>
          </w:p>
        </w:tc>
        <w:tc>
          <w:tcPr>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pPr>
              <w:jc w:val="center"/>
            </w:pPr>
            <w:r>
              <w:rPr>
                <w:rFonts w:ascii="Times New Roman" w:cs="Times New Roman" w:eastAsia="Times New Roman" w:hAnsi="Times New Roman"/>
                <w:b/>
                <w:bCs/>
                <w:sz w:val="28"/>
                <w:szCs w:val="28"/>
              </w:rPr>
              <w:t xml:space="preserve">↗</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0"/>
      </w:pPr>
      <w:r>
        <w:t xml:space="preserve"/>
      </w:r>
    </w:p>
    <w:p>
      <w:pPr>
        <w:spacing w:after="80" w:before="0" w:line="360"/>
        <w:jc w:val="center"/>
      </w:pPr>
      <w:r>
        <w:rPr>
          <w:rFonts w:ascii="Times New Roman" w:cs="Times New Roman" w:eastAsia="Times New Roman" w:hAnsi="Times New Roman"/>
          <w:i/>
          <w:iCs/>
          <w:sz w:val="24"/>
          <w:szCs w:val="24"/>
        </w:rPr>
        <w:t xml:space="preserve">Source: Adapted from Davis (1989)</w:t>
      </w:r>
    </w:p>
    <w:p>
      <w:pPr>
        <w:spacing w:after="0" w:before="0"/>
      </w:pPr>
      <w:r>
        <w:t xml:space="preserve"/>
      </w:r>
    </w:p>
    <w:p>
      <w:pPr>
        <w:spacing w:after="160" w:before="0" w:line="480"/>
        <w:jc w:val="both"/>
      </w:pPr>
      <w:r>
        <w:rPr>
          <w:rFonts w:ascii="Times New Roman" w:cs="Times New Roman" w:eastAsia="Times New Roman" w:hAnsi="Times New Roman"/>
          <w:sz w:val="24"/>
          <w:szCs w:val="24"/>
        </w:rPr>
        <w:t xml:space="preserve">TAM is particularly relevant to this study because it directly explains how student nurses form attitudes towards AI tools and what influences their decision to use or not use them. A student nurse who perceives AI tools as both useful and easy to use is, according to the model, more likely to adopt them for academic purposes. By applying TAM, this study provides a theoretical basis for interpreting the relationship between awareness, perceived benefits, and utilization of AI tools among student nurses at Kasimu Kofar Bai School of Nursing, Katsina.</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2.3 Empirical Review</w:t>
      </w:r>
    </w:p>
    <w:p>
      <w:pPr>
        <w:spacing w:after="160" w:before="0" w:line="480"/>
        <w:jc w:val="both"/>
      </w:pPr>
      <w:r>
        <w:rPr>
          <w:rFonts w:ascii="Times New Roman" w:cs="Times New Roman" w:eastAsia="Times New Roman" w:hAnsi="Times New Roman"/>
          <w:sz w:val="24"/>
          <w:szCs w:val="24"/>
        </w:rPr>
        <w:t xml:space="preserve">Objective One — Awareness of AI Tools: Okonkwo and Ade-Ibijola (2021) conducted a study among university students in South Africa to assess awareness and use of AI-based tools. Their findings revealed that 68% of respondents were aware of AI tools, though active utilization was reported by only 41% of the sample. The study noted that awareness was higher among science and technology students compared to health profession students. It concluded that awareness campaigns and institutional guidelines were necessary to promote responsible AI use. Similarly, Adeshola and Adepoju (2023) found in a Nigerian context that while general awareness of AI tools was growing — with 52% of university students reporting awareness — awareness among nursing and allied health students was significantly lower, at approximately 29%, highlighting the need for targeted digital literacy programmes within health training institutions.</w:t>
      </w:r>
    </w:p>
    <w:p>
      <w:pPr>
        <w:spacing w:after="0" w:before="0"/>
      </w:pPr>
      <w:r>
        <w:t xml:space="preserve"/>
      </w:r>
    </w:p>
    <w:p>
      <w:pPr>
        <w:spacing w:after="160" w:before="0" w:line="480"/>
        <w:jc w:val="both"/>
      </w:pPr>
      <w:r>
        <w:rPr>
          <w:rFonts w:ascii="Times New Roman" w:cs="Times New Roman" w:eastAsia="Times New Roman" w:hAnsi="Times New Roman"/>
          <w:sz w:val="24"/>
          <w:szCs w:val="24"/>
        </w:rPr>
        <w:t xml:space="preserve">Objective Two — Types of AI Tools Used: Sallam et al. (2023) conducted a multi-country study assessing the use of ChatGPT among health science students. Their findings revealed that 73.4% of respondents had used ChatGPT for academic purposes, making it the most widely used AI tool among health students. Other tools identified in the study included Grammarly, used by 48% of respondents, and Google-based AI features, used by 39%. The study noted that health science students primarily used AI tools for summarizing information, understanding clinical concepts, and drafting written assignments. Bahroun et al. (2023) similarly found that students engaged with multiple AI tools simultaneously, with ChatGPT, Grammarly, and AI-powered search engines being the most frequently adopted tools for academic tasks.</w:t>
      </w:r>
    </w:p>
    <w:p>
      <w:pPr>
        <w:spacing w:after="0" w:before="0"/>
      </w:pPr>
      <w:r>
        <w:t xml:space="preserve"/>
      </w:r>
    </w:p>
    <w:p>
      <w:pPr>
        <w:spacing w:after="160" w:before="0" w:line="480"/>
        <w:jc w:val="both"/>
      </w:pPr>
      <w:r>
        <w:rPr>
          <w:rFonts w:ascii="Times New Roman" w:cs="Times New Roman" w:eastAsia="Times New Roman" w:hAnsi="Times New Roman"/>
          <w:sz w:val="24"/>
          <w:szCs w:val="24"/>
        </w:rPr>
        <w:t xml:space="preserve">Objective Three — Perceived Benefits of AI Tools: Bahroun et al. (2023) examined the transformative potential of AI in education and found that 81% of students who actively used AI tools reported improved learning outcomes and higher academic self-efficacy. Students specifically cited time efficiency, ease of accessing complex information, and improved quality of written work as key perceived benefits. Sallam et al. (2023) corroborated these findings, with the majority of health science students reporting that AI tools improved their understanding of complex topics and saved time during study. The studies collectively support the view that perceived usefulness and ease of use — consistent with the TAM framework — are the strongest predictors of AI tool adoption and satisfaction among students.</w:t>
      </w:r>
    </w:p>
    <w:p>
      <w:pPr>
        <w:spacing w:after="0" w:before="0"/>
      </w:pPr>
      <w:r>
        <w:t xml:space="preserve"/>
      </w:r>
    </w:p>
    <w:p>
      <w:pPr>
        <w:spacing w:after="160" w:before="0" w:line="480"/>
        <w:jc w:val="both"/>
      </w:pPr>
      <w:r>
        <w:rPr>
          <w:rFonts w:ascii="Times New Roman" w:cs="Times New Roman" w:eastAsia="Times New Roman" w:hAnsi="Times New Roman"/>
          <w:sz w:val="24"/>
          <w:szCs w:val="24"/>
        </w:rPr>
        <w:t xml:space="preserve">Relationship Among Studies: The three studies reviewed above collectively demonstrate a progressive relationship among the study objectives. Awareness of AI tools is the foundational factor — without awareness, utilization cannot occur. Once aware, students tend to adopt specific tools most accessible and relevant to their academic needs, with ChatGPT and Grammarly emerging consistently as the most widely used. The experience of using these tools then shapes perceived benefits, which in turn reinforces continued use. This progression aligns directly with the TAM framework adopted in this study and confirms the relevance of the three objectives in capturing the full picture of AI tool engagement among student nurses. Table 2.1 below summarizes the key metrics from reviewed studies.</w:t>
      </w:r>
    </w:p>
    <w:p>
      <w:pPr>
        <w:spacing w:after="0" w:before="0"/>
      </w:pPr>
      <w:r>
        <w:t xml:space="preserve"/>
      </w:r>
    </w:p>
    <w:p>
      <w:pPr>
        <w:spacing w:after="80" w:before="0" w:line="360"/>
        <w:jc w:val="center"/>
      </w:pPr>
      <w:r>
        <w:rPr>
          <w:rFonts w:ascii="Times New Roman" w:cs="Times New Roman" w:eastAsia="Times New Roman" w:hAnsi="Times New Roman"/>
          <w:b/>
          <w:bCs/>
          <w:sz w:val="24"/>
          <w:szCs w:val="24"/>
        </w:rPr>
        <w:t xml:space="preserve">Table 2.1: Summary of Empirical Studies Reviewed</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6"/>
              <w:left w:val="single" w:color="000000" w:sz="6"/>
              <w:bottom w:val="single" w:color="000000" w:sz="6"/>
              <w:right w:val="single" w:color="000000" w:sz="6"/>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Study</w:t>
            </w:r>
          </w:p>
        </w:tc>
        <w:tc>
          <w:tcPr>
            <w:tcBorders>
              <w:top w:val="single" w:color="000000" w:sz="6"/>
              <w:left w:val="single" w:color="000000" w:sz="6"/>
              <w:bottom w:val="single" w:color="000000" w:sz="6"/>
              <w:right w:val="single" w:color="000000" w:sz="6"/>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Objective Addressed</w:t>
            </w:r>
          </w:p>
        </w:tc>
        <w:tc>
          <w:tcPr>
            <w:tcBorders>
              <w:top w:val="single" w:color="000000" w:sz="6"/>
              <w:left w:val="single" w:color="000000" w:sz="6"/>
              <w:bottom w:val="single" w:color="000000" w:sz="6"/>
              <w:right w:val="single" w:color="000000" w:sz="6"/>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Key Finding</w:t>
            </w:r>
          </w:p>
        </w:tc>
        <w:tc>
          <w:tcPr>
            <w:tcBorders>
              <w:top w:val="single" w:color="000000" w:sz="6"/>
              <w:left w:val="single" w:color="000000" w:sz="6"/>
              <w:bottom w:val="single" w:color="000000" w:sz="6"/>
              <w:right w:val="single" w:color="000000" w:sz="6"/>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Metric</w:t>
            </w:r>
          </w:p>
        </w:tc>
      </w:tr>
      <w:tr>
        <w:tc>
          <w:tcPr>
            <w:tcBorders>
              <w:top w:val="single" w:color="000000" w:sz="6"/>
              <w:left w:val="single" w:color="000000" w:sz="6"/>
              <w:bottom w:val="single" w:color="000000" w:sz="6"/>
              <w:right w:val="single" w:color="000000" w:sz="6"/>
            </w:tcBorders>
            <w:shd w:fill="EBF3FB"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Okonkwo &amp;
Ade-Ibijola
(2021)</w:t>
            </w:r>
          </w:p>
        </w:tc>
        <w:tc>
          <w:tcPr>
            <w:tcBorders>
              <w:top w:val="single" w:color="000000" w:sz="6"/>
              <w:left w:val="single" w:color="000000" w:sz="6"/>
              <w:bottom w:val="single" w:color="000000" w:sz="6"/>
              <w:right w:val="single" w:color="000000" w:sz="6"/>
            </w:tcBorders>
            <w:shd w:fill="EBF3FB"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Awareness of AI tools</w:t>
            </w:r>
          </w:p>
        </w:tc>
        <w:tc>
          <w:tcPr>
            <w:tcBorders>
              <w:top w:val="single" w:color="000000" w:sz="6"/>
              <w:left w:val="single" w:color="000000" w:sz="6"/>
              <w:bottom w:val="single" w:color="000000" w:sz="6"/>
              <w:right w:val="single" w:color="000000" w:sz="6"/>
            </w:tcBorders>
            <w:shd w:fill="EBF3FB"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Most students aware but moderate use</w:t>
            </w:r>
          </w:p>
        </w:tc>
        <w:tc>
          <w:tcPr>
            <w:tcBorders>
              <w:top w:val="single" w:color="000000" w:sz="6"/>
              <w:left w:val="single" w:color="000000" w:sz="6"/>
              <w:bottom w:val="single" w:color="000000" w:sz="6"/>
              <w:right w:val="single" w:color="000000" w:sz="6"/>
            </w:tcBorders>
            <w:shd w:fill="EBF3FB"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68% awareness;
41% active use</w:t>
            </w:r>
          </w:p>
        </w:tc>
      </w:tr>
      <w:tr>
        <w:tc>
          <w:tcPr>
            <w:tcBorders>
              <w:top w:val="single" w:color="000000" w:sz="6"/>
              <w:left w:val="single" w:color="000000" w:sz="6"/>
              <w:bottom w:val="single" w:color="000000" w:sz="6"/>
              <w:right w:val="single" w:color="000000" w:sz="6"/>
            </w:tcBorders>
            <w:shd w:fill="E8F5E9"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Sallam et al.
(2023)</w:t>
            </w:r>
          </w:p>
        </w:tc>
        <w:tc>
          <w:tcPr>
            <w:tcBorders>
              <w:top w:val="single" w:color="000000" w:sz="6"/>
              <w:left w:val="single" w:color="000000" w:sz="6"/>
              <w:bottom w:val="single" w:color="000000" w:sz="6"/>
              <w:right w:val="single" w:color="000000" w:sz="6"/>
            </w:tcBorders>
            <w:shd w:fill="E8F5E9"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Types of AI tools used</w:t>
            </w:r>
          </w:p>
        </w:tc>
        <w:tc>
          <w:tcPr>
            <w:tcBorders>
              <w:top w:val="single" w:color="000000" w:sz="6"/>
              <w:left w:val="single" w:color="000000" w:sz="6"/>
              <w:bottom w:val="single" w:color="000000" w:sz="6"/>
              <w:right w:val="single" w:color="000000" w:sz="6"/>
            </w:tcBorders>
            <w:shd w:fill="E8F5E9"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ChatGPT widely used for academic tasks</w:t>
            </w:r>
          </w:p>
        </w:tc>
        <w:tc>
          <w:tcPr>
            <w:tcBorders>
              <w:top w:val="single" w:color="000000" w:sz="6"/>
              <w:left w:val="single" w:color="000000" w:sz="6"/>
              <w:bottom w:val="single" w:color="000000" w:sz="6"/>
              <w:right w:val="single" w:color="000000" w:sz="6"/>
            </w:tcBorders>
            <w:shd w:fill="E8F5E9"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73.4% used
ChatGPT for
study</w:t>
            </w:r>
          </w:p>
        </w:tc>
      </w:tr>
      <w:tr>
        <w:tc>
          <w:tcPr>
            <w:tcBorders>
              <w:top w:val="single" w:color="000000" w:sz="6"/>
              <w:left w:val="single" w:color="000000" w:sz="6"/>
              <w:bottom w:val="single" w:color="000000" w:sz="6"/>
              <w:right w:val="single" w:color="000000" w:sz="6"/>
            </w:tcBorders>
            <w:shd w:fill="FFF8E1"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Adeshola &amp;
Adepoju
(2023)</w:t>
            </w:r>
          </w:p>
        </w:tc>
        <w:tc>
          <w:tcPr>
            <w:tcBorders>
              <w:top w:val="single" w:color="000000" w:sz="6"/>
              <w:left w:val="single" w:color="000000" w:sz="6"/>
              <w:bottom w:val="single" w:color="000000" w:sz="6"/>
              <w:right w:val="single" w:color="000000" w:sz="6"/>
            </w:tcBorders>
            <w:shd w:fill="FFF8E1"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Awareness among
Nigerian students</w:t>
            </w:r>
          </w:p>
        </w:tc>
        <w:tc>
          <w:tcPr>
            <w:tcBorders>
              <w:top w:val="single" w:color="000000" w:sz="6"/>
              <w:left w:val="single" w:color="000000" w:sz="6"/>
              <w:bottom w:val="single" w:color="000000" w:sz="6"/>
              <w:right w:val="single" w:color="000000" w:sz="6"/>
            </w:tcBorders>
            <w:shd w:fill="FFF8E1"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Health students showed lower AI familiarity</w:t>
            </w:r>
          </w:p>
        </w:tc>
        <w:tc>
          <w:tcPr>
            <w:tcBorders>
              <w:top w:val="single" w:color="000000" w:sz="6"/>
              <w:left w:val="single" w:color="000000" w:sz="6"/>
              <w:bottom w:val="single" w:color="000000" w:sz="6"/>
              <w:right w:val="single" w:color="000000" w:sz="6"/>
            </w:tcBorders>
            <w:shd w:fill="FFF8E1"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52% general
awareness;
29% nursing
students</w:t>
            </w:r>
          </w:p>
        </w:tc>
      </w:tr>
      <w:tr>
        <w:tc>
          <w:tcPr>
            <w:tcBorders>
              <w:top w:val="single" w:color="000000" w:sz="6"/>
              <w:left w:val="single" w:color="000000" w:sz="6"/>
              <w:bottom w:val="single" w:color="000000" w:sz="6"/>
              <w:right w:val="single" w:color="000000" w:sz="6"/>
            </w:tcBorders>
            <w:shd w:fill="FCE4D6"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Bahroun et al.
(2023)</w:t>
            </w:r>
          </w:p>
        </w:tc>
        <w:tc>
          <w:tcPr>
            <w:tcBorders>
              <w:top w:val="single" w:color="000000" w:sz="6"/>
              <w:left w:val="single" w:color="000000" w:sz="6"/>
              <w:bottom w:val="single" w:color="000000" w:sz="6"/>
              <w:right w:val="single" w:color="000000" w:sz="6"/>
            </w:tcBorders>
            <w:shd w:fill="FCE4D6"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Perceived benefits
of AI tools</w:t>
            </w:r>
          </w:p>
        </w:tc>
        <w:tc>
          <w:tcPr>
            <w:tcBorders>
              <w:top w:val="single" w:color="000000" w:sz="6"/>
              <w:left w:val="single" w:color="000000" w:sz="6"/>
              <w:bottom w:val="single" w:color="000000" w:sz="6"/>
              <w:right w:val="single" w:color="000000" w:sz="6"/>
            </w:tcBorders>
            <w:shd w:fill="FCE4D6"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AI tools improved academic self-efficacy</w:t>
            </w:r>
          </w:p>
        </w:tc>
        <w:tc>
          <w:tcPr>
            <w:tcBorders>
              <w:top w:val="single" w:color="000000" w:sz="6"/>
              <w:left w:val="single" w:color="000000" w:sz="6"/>
              <w:bottom w:val="single" w:color="000000" w:sz="6"/>
              <w:right w:val="single" w:color="000000" w:sz="6"/>
            </w:tcBorders>
            <w:shd w:fill="FCE4D6" w:val="clear"/>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81% reported
improved
learning
outcomes</w:t>
            </w:r>
          </w:p>
        </w:tc>
      </w:tr>
    </w:tbl>
    <w:p>
      <w:pPr>
        <w:spacing w:after="0" w:before="0"/>
      </w:pPr>
      <w:r>
        <w:t xml:space="preserve"/>
      </w:r>
    </w:p>
    <w:p>
      <w:pPr>
        <w:spacing w:after="80" w:before="0" w:line="360"/>
        <w:jc w:val="center"/>
      </w:pPr>
      <w:r>
        <w:rPr>
          <w:rFonts w:ascii="Times New Roman" w:cs="Times New Roman" w:eastAsia="Times New Roman" w:hAnsi="Times New Roman"/>
          <w:i/>
          <w:iCs/>
          <w:sz w:val="24"/>
          <w:szCs w:val="24"/>
        </w:rPr>
        <w:t xml:space="preserve">Source: Compiled by the Researcher (2025)</w:t>
      </w:r>
    </w:p>
    <w:p>
      <w:pPr>
        <w:spacing w:after="0" w:before="0"/>
      </w:pPr>
      <w:r>
        <w:t xml:space="preserve"/>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jc w:val="left"/>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jc w:val="left"/>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2026-07-23T16:42:01.786Z</dcterms:created>
  <dcterms:modified xsi:type="dcterms:W3CDTF">2026-07-23T16:42:01.786Z</dcterms:modified>
</cp:coreProperties>
</file>

<file path=docProps/custom.xml><?xml version="1.0" encoding="utf-8"?>
<Properties xmlns="http://schemas.openxmlformats.org/officeDocument/2006/custom-properties" xmlns:vt="http://schemas.openxmlformats.org/officeDocument/2006/docPropsVTypes"/>
</file>