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 xml:space="preserve">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w:t>
      </w:r>
      <w:bookmarkStart w:id="1" w:name="_GoBack"/>
      <w:bookmarkEnd w:id="1"/>
      <w:r w:rsidRPr="009302D2">
        <w:rPr>
          <w:color w:val="000000"/>
          <w:lang w:val="es-ES" w:eastAsia="fr-FR"/>
        </w:rPr>
        <w:t>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Lo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Default="00FA1965" w:rsidP="00FA1965">
      <w:pPr>
        <w:pBdr>
          <w:top w:val="nil"/>
          <w:left w:val="nil"/>
          <w:bottom w:val="nil"/>
          <w:right w:val="nil"/>
          <w:between w:val="nil"/>
        </w:pBdr>
        <w:ind w:left="1440"/>
        <w:contextualSpacing/>
        <w:rPr>
          <w:b/>
          <w:lang w:val="es-ES"/>
        </w:rPr>
      </w:pPr>
    </w:p>
    <w:p w14:paraId="5B20F12F" w14:textId="77777777" w:rsidR="00FA1965" w:rsidRDefault="00FA1965" w:rsidP="00762ACC">
      <w:pPr>
        <w:pBdr>
          <w:top w:val="nil"/>
          <w:left w:val="nil"/>
          <w:bottom w:val="nil"/>
          <w:right w:val="nil"/>
          <w:between w:val="nil"/>
        </w:pBdr>
        <w:contextualSpacing/>
        <w:rPr>
          <w:b/>
          <w:lang w:val="es-ES"/>
        </w:rPr>
      </w:pP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7356D10D" w14:textId="77777777" w:rsidR="00FA1965" w:rsidRDefault="00FA1965" w:rsidP="00762ACC">
      <w:pPr>
        <w:pBdr>
          <w:top w:val="nil"/>
          <w:left w:val="nil"/>
          <w:bottom w:val="nil"/>
          <w:right w:val="nil"/>
          <w:between w:val="nil"/>
        </w:pBdr>
        <w:contextualSpacing/>
        <w:rPr>
          <w:b/>
          <w:lang w:val="es-ES"/>
        </w:rPr>
      </w:pP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737068DF" w14:textId="77777777" w:rsidR="00762ACC" w:rsidRPr="00FA1965" w:rsidRDefault="00762ACC" w:rsidP="00762ACC">
      <w:pPr>
        <w:pBdr>
          <w:top w:val="nil"/>
          <w:left w:val="nil"/>
          <w:bottom w:val="nil"/>
          <w:right w:val="nil"/>
          <w:between w:val="nil"/>
        </w:pBdr>
        <w:contextualSpacing/>
        <w:rPr>
          <w:b/>
          <w:lang w:val="es-ES"/>
        </w:rPr>
      </w:pPr>
    </w:p>
    <w:sectPr w:rsidR="00762ACC" w:rsidRPr="00FA1965">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7F8C3" w14:textId="77777777" w:rsidR="009A47CD" w:rsidRDefault="009A47CD">
      <w:r>
        <w:separator/>
      </w:r>
    </w:p>
  </w:endnote>
  <w:endnote w:type="continuationSeparator" w:id="0">
    <w:p w14:paraId="097505DB" w14:textId="77777777" w:rsidR="009A47CD" w:rsidRDefault="009A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176D6" w14:textId="77777777" w:rsidR="009A47CD" w:rsidRDefault="009A47CD">
      <w:r>
        <w:separator/>
      </w:r>
    </w:p>
  </w:footnote>
  <w:footnote w:type="continuationSeparator" w:id="0">
    <w:p w14:paraId="7761D1A7" w14:textId="77777777" w:rsidR="009A47CD" w:rsidRDefault="009A47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777777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E435E"/>
    <w:rsid w:val="00114C95"/>
    <w:rsid w:val="00132B02"/>
    <w:rsid w:val="002E1065"/>
    <w:rsid w:val="002E3751"/>
    <w:rsid w:val="003221D7"/>
    <w:rsid w:val="0035154E"/>
    <w:rsid w:val="00450B77"/>
    <w:rsid w:val="00541368"/>
    <w:rsid w:val="005662D5"/>
    <w:rsid w:val="00573D55"/>
    <w:rsid w:val="006540AB"/>
    <w:rsid w:val="00762ACC"/>
    <w:rsid w:val="0079461C"/>
    <w:rsid w:val="0081193B"/>
    <w:rsid w:val="0087425E"/>
    <w:rsid w:val="008A1FC3"/>
    <w:rsid w:val="008F6B1C"/>
    <w:rsid w:val="009277CE"/>
    <w:rsid w:val="009302D2"/>
    <w:rsid w:val="00964A43"/>
    <w:rsid w:val="00974419"/>
    <w:rsid w:val="00983999"/>
    <w:rsid w:val="009A47CD"/>
    <w:rsid w:val="00A55B54"/>
    <w:rsid w:val="00A561E3"/>
    <w:rsid w:val="00B942B2"/>
    <w:rsid w:val="00C90720"/>
    <w:rsid w:val="00D24132"/>
    <w:rsid w:val="00D87D8D"/>
    <w:rsid w:val="00DA15F9"/>
    <w:rsid w:val="00E1515E"/>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F2285A0-F8AB-6B42-9D96-A97DE352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1729</Words>
  <Characters>9510</Characters>
  <Application>Microsoft Macintosh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19</cp:revision>
  <dcterms:created xsi:type="dcterms:W3CDTF">2018-10-24T02:00:00Z</dcterms:created>
  <dcterms:modified xsi:type="dcterms:W3CDTF">2018-10-24T19:52:00Z</dcterms:modified>
</cp:coreProperties>
</file>