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4 - Мікросервіси з використанням Messaging queue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 балів)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Завдання базується на функціоналі, розробленому у попередньому завданні, і є його подальшим розвитком.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звʼязку з тим, що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взаємодіє з дисковою БД для оновлення значень на рахунку, така операція може бути повільною. Тому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</w:t>
      </w:r>
      <w:r w:rsidDel="00000000" w:rsidR="00000000" w:rsidRPr="00000000">
        <w:rPr>
          <w:sz w:val="24"/>
          <w:szCs w:val="24"/>
          <w:rtl w:val="0"/>
        </w:rPr>
        <w:t xml:space="preserve"> може не чекати на її завершення і відправляти запит на оновлення рахунку асинхронно через message queue.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необхідно додати: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 якості каналу доставки повідомлень між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 </w:t>
      </w:r>
      <w:r w:rsidDel="00000000" w:rsidR="00000000" w:rsidRPr="00000000">
        <w:rPr>
          <w:sz w:val="24"/>
          <w:szCs w:val="24"/>
          <w:rtl w:val="0"/>
        </w:rPr>
        <w:t xml:space="preserve">та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 використати message queue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 </w:t>
      </w:r>
      <w:r w:rsidDel="00000000" w:rsidR="00000000" w:rsidRPr="00000000">
        <w:rPr>
          <w:sz w:val="24"/>
          <w:szCs w:val="24"/>
          <w:rtl w:val="0"/>
        </w:rPr>
        <w:t xml:space="preserve">для читання даних використовує попередній спосіб - через GET-запит. Зміни торкаються лише POST-запиту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Пропонується використати у якості Messaging queue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Hazelcast Queue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https://docs.hazelcast.com/hazelcast/5.5/data-structures/queue</w:t>
        </w:r>
      </w:hyperlink>
      <w:r w:rsidDel="00000000" w:rsidR="00000000" w:rsidRPr="00000000">
        <w:rPr>
          <w:sz w:val="24"/>
          <w:szCs w:val="24"/>
          <w:rtl w:val="0"/>
        </w:rPr>
        <w:t xml:space="preserve"> або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Kafka - 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https://hub.docker.com/r/apache/kafka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Функціональність системи</w:t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Клієнт взаємодіє з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 </w:t>
      </w:r>
      <w:r w:rsidDel="00000000" w:rsidR="00000000" w:rsidRPr="00000000">
        <w:rPr>
          <w:sz w:val="24"/>
          <w:szCs w:val="24"/>
          <w:rtl w:val="0"/>
        </w:rPr>
        <w:t xml:space="preserve">через HTTP POST- та GET-запити. 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Необхідно розгорнути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Messaging queue - </w:t>
      </w:r>
      <w:r w:rsidDel="00000000" w:rsidR="00000000" w:rsidRPr="00000000">
        <w:rPr>
          <w:sz w:val="24"/>
          <w:szCs w:val="24"/>
          <w:rtl w:val="0"/>
        </w:rPr>
        <w:t xml:space="preserve"> Hazelcast Distributed Queue чи Kafka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надходженні POST-запиту до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 </w:t>
      </w:r>
      <w:r w:rsidDel="00000000" w:rsidR="00000000" w:rsidRPr="00000000">
        <w:rPr>
          <w:sz w:val="24"/>
          <w:szCs w:val="24"/>
          <w:rtl w:val="0"/>
        </w:rPr>
        <w:t xml:space="preserve">він має додавати повідомлення з запиту до черги повідомлень для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має вичитувати повідомлення (схема - producer/consumer) та змінювати відповідний баланс на рахунку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367301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225" y="38325"/>
                          <a:ext cx="5943600" cy="3673011"/>
                          <a:chOff x="54225" y="38325"/>
                          <a:chExt cx="6761300" cy="41758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30925" y="1649550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Facade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091050" y="59242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Logging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225" y="2224950"/>
                            <a:ext cx="107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88125" y="1167750"/>
                            <a:ext cx="1602900" cy="10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30750" y="2571750"/>
                            <a:ext cx="1602900" cy="102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13150" y="1486125"/>
                            <a:ext cx="1199700" cy="1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Command: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HTTP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POST/GET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msg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 rot="-1996606">
                            <a:off x="2244143" y="1129667"/>
                            <a:ext cx="1914764" cy="56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HTTP POST/GET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{UUID, msg}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243450" y="74482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Logging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395850" y="89722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Logging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807375" y="513800"/>
                            <a:ext cx="777000" cy="162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881175" y="592425"/>
                            <a:ext cx="629425" cy="373775"/>
                          </a:xfrm>
                          <a:prstGeom prst="flowChartInternalStorag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5881175" y="1087725"/>
                            <a:ext cx="629425" cy="373775"/>
                          </a:xfrm>
                          <a:prstGeom prst="flowChartInternalStorag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881175" y="1583025"/>
                            <a:ext cx="629425" cy="373775"/>
                          </a:xfrm>
                          <a:prstGeom prst="flowChartInternalStorag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5576225" y="38325"/>
                            <a:ext cx="1239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Distributed Map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 rot="2031562">
                            <a:off x="2122498" y="3096299"/>
                            <a:ext cx="1914722" cy="36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HTTP GET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243450" y="305857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Counter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 rot="1948216">
                            <a:off x="2254654" y="2751774"/>
                            <a:ext cx="2054242" cy="314701"/>
                          </a:xfrm>
                          <a:prstGeom prst="flowChartMagneticDrum">
                            <a:avLst/>
                          </a:prstGeom>
                          <a:solidFill>
                            <a:srgbClr val="B6D7A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875" y="2389800"/>
                            <a:ext cx="924600" cy="59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 rot="2031562">
                            <a:off x="2244173" y="2679874"/>
                            <a:ext cx="1914722" cy="36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792150" y="3334600"/>
                            <a:ext cx="557275" cy="712600"/>
                          </a:xfrm>
                          <a:prstGeom prst="flowChartMagneticDisk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67301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6730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Configuration server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У звʼязку з тим, що тепер може бути декілька запущених екземплярів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logging-service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</w:t>
      </w:r>
      <w:r w:rsidDel="00000000" w:rsidR="00000000" w:rsidRPr="00000000">
        <w:rPr>
          <w:sz w:val="24"/>
          <w:szCs w:val="24"/>
          <w:rtl w:val="0"/>
        </w:rPr>
        <w:t xml:space="preserve"> має знати про їх IP-адреси для доступу до них. Перелік IP-адрес може міститися у коді самого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</w:t>
      </w:r>
      <w:r w:rsidDel="00000000" w:rsidR="00000000" w:rsidRPr="00000000">
        <w:rPr>
          <w:sz w:val="24"/>
          <w:szCs w:val="24"/>
          <w:rtl w:val="0"/>
        </w:rPr>
        <w:t xml:space="preserve"> чи передаватися у нього при старті, проте такий підхід не є гнучким у разі динамічного призначення чи зміни цих адрес. 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Тому пропонується винести інформацію про IP-адреси інших мікросервісів у окремий реєстр, за який буде відповідати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config-server</w:t>
      </w:r>
      <w:r w:rsidDel="00000000" w:rsidR="00000000" w:rsidRPr="00000000">
        <w:rPr>
          <w:sz w:val="24"/>
          <w:szCs w:val="24"/>
          <w:rtl w:val="0"/>
        </w:rPr>
        <w:t xml:space="preserve"> (пізніше він буде замінений на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 registry and discovery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Тепер, перед зверненням до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logging-service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counter-service,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</w:t>
      </w:r>
      <w:r w:rsidDel="00000000" w:rsidR="00000000" w:rsidRPr="00000000">
        <w:rPr>
          <w:sz w:val="24"/>
          <w:szCs w:val="24"/>
          <w:rtl w:val="0"/>
        </w:rPr>
        <w:t xml:space="preserve"> має робити запит до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config-server</w:t>
      </w:r>
      <w:r w:rsidDel="00000000" w:rsidR="00000000" w:rsidRPr="00000000">
        <w:rPr>
          <w:sz w:val="24"/>
          <w:szCs w:val="24"/>
          <w:rtl w:val="0"/>
        </w:rPr>
        <w:t xml:space="preserve">, де за ім'ям сервісу йому повертається перелік всіх IP-адрес екземплярів даного сервісу. Далі, випадковим чином обирається адреса до якої йде звернення, якщо існує декілька екземплярів мікросервіса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4106487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225" y="38325"/>
                          <a:ext cx="5943600" cy="4106487"/>
                          <a:chOff x="54225" y="38325"/>
                          <a:chExt cx="6803775" cy="4686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130925" y="1649550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Facade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4091050" y="267757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4CC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Counter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091050" y="59242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Logging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225" y="2224950"/>
                            <a:ext cx="107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88125" y="1167750"/>
                            <a:ext cx="1602900" cy="105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88125" y="2224950"/>
                            <a:ext cx="1602900" cy="102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13150" y="1486125"/>
                            <a:ext cx="1199700" cy="1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Command: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HTTP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POST/GET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msg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 rot="-1996606">
                            <a:off x="2244143" y="1129667"/>
                            <a:ext cx="1914764" cy="56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HTTP POST/GET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{UUID, msg}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243450" y="74482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Logging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395850" y="897225"/>
                            <a:ext cx="1357200" cy="1150800"/>
                          </a:xfrm>
                          <a:prstGeom prst="hexagon">
                            <a:avLst>
                              <a:gd fmla="val 25000" name="adj"/>
                              <a:gd fmla="val 115470" name="vf"/>
                            </a:avLst>
                          </a:prstGeom>
                          <a:solidFill>
                            <a:srgbClr val="FFF2C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Logging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807375" y="513800"/>
                            <a:ext cx="777000" cy="162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881175" y="592425"/>
                            <a:ext cx="629425" cy="373775"/>
                          </a:xfrm>
                          <a:prstGeom prst="flowChartInternalStorag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5881175" y="1087725"/>
                            <a:ext cx="629425" cy="373775"/>
                          </a:xfrm>
                          <a:prstGeom prst="flowChartInternalStorag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881175" y="1583025"/>
                            <a:ext cx="629425" cy="373775"/>
                          </a:xfrm>
                          <a:prstGeom prst="flowChartInternalStorag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5576225" y="38325"/>
                            <a:ext cx="1239300" cy="5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Distributed Map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 rot="2031562">
                            <a:off x="2388023" y="2791049"/>
                            <a:ext cx="1914722" cy="36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HTTP GET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51775" y="3441100"/>
                            <a:ext cx="1315500" cy="1278900"/>
                          </a:xfrm>
                          <a:prstGeom prst="ellipse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Config server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809525" y="2813800"/>
                            <a:ext cx="26700" cy="62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1815000" y="2819650"/>
                            <a:ext cx="15378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Services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location request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2488125" y="3872775"/>
                            <a:ext cx="4509900" cy="52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ogging-service =&gt; [127.x.x.x:8081, 1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27.x.x.x:8082, 127.x.x.x:8083]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counter-service =&gt; [127.x.x.x:8084]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576225" y="2947388"/>
                            <a:ext cx="629425" cy="803975"/>
                          </a:xfrm>
                          <a:prstGeom prst="flowChartMagneticDisk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 rot="2031562">
                            <a:off x="2484636" y="2458774"/>
                            <a:ext cx="1914722" cy="36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475825" y="3626950"/>
                            <a:ext cx="1827175" cy="328875"/>
                          </a:xfrm>
                          <a:custGeom>
                            <a:rect b="b" l="l" r="r" t="t"/>
                            <a:pathLst>
                              <a:path extrusionOk="0" h="13155" w="73087">
                                <a:moveTo>
                                  <a:pt x="73087" y="0"/>
                                </a:moveTo>
                                <a:cubicBezTo>
                                  <a:pt x="69555" y="1827"/>
                                  <a:pt x="64073" y="8771"/>
                                  <a:pt x="51892" y="10963"/>
                                </a:cubicBezTo>
                                <a:cubicBezTo>
                                  <a:pt x="39711" y="13156"/>
                                  <a:pt x="8649" y="12790"/>
                                  <a:pt x="0" y="1315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338775" y="1845450"/>
                            <a:ext cx="2000775" cy="1836300"/>
                          </a:xfrm>
                          <a:custGeom>
                            <a:rect b="b" l="l" r="r" t="t"/>
                            <a:pathLst>
                              <a:path extrusionOk="0" h="73452" w="80031">
                                <a:moveTo>
                                  <a:pt x="80031" y="0"/>
                                </a:moveTo>
                                <a:cubicBezTo>
                                  <a:pt x="77229" y="5908"/>
                                  <a:pt x="76560" y="23205"/>
                                  <a:pt x="63221" y="35447"/>
                                </a:cubicBezTo>
                                <a:cubicBezTo>
                                  <a:pt x="49883" y="47689"/>
                                  <a:pt x="10537" y="67118"/>
                                  <a:pt x="0" y="7345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102785" y="2494100"/>
                            <a:ext cx="221900" cy="1114575"/>
                          </a:xfrm>
                          <a:custGeom>
                            <a:rect b="b" l="l" r="r" t="t"/>
                            <a:pathLst>
                              <a:path extrusionOk="0" h="44583" w="8876">
                                <a:moveTo>
                                  <a:pt x="6319" y="0"/>
                                </a:moveTo>
                                <a:cubicBezTo>
                                  <a:pt x="5284" y="4324"/>
                                  <a:pt x="-319" y="18516"/>
                                  <a:pt x="107" y="25946"/>
                                </a:cubicBezTo>
                                <a:cubicBezTo>
                                  <a:pt x="533" y="33377"/>
                                  <a:pt x="7415" y="41477"/>
                                  <a:pt x="8877" y="4458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106487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1064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Звідки береться перелік </w:t>
      </w:r>
      <w:r w:rsidDel="00000000" w:rsidR="00000000" w:rsidRPr="00000000">
        <w:rPr>
          <w:sz w:val="24"/>
          <w:szCs w:val="24"/>
          <w:rtl w:val="0"/>
        </w:rPr>
        <w:t xml:space="preserve">IP-адрес мікросервісів на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config-server</w:t>
      </w:r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 кожен з мікросервісів запускається, він має через POST-запит реєструвати себе на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config-server</w:t>
      </w:r>
      <w:r w:rsidDel="00000000" w:rsidR="00000000" w:rsidRPr="00000000">
        <w:rPr>
          <w:sz w:val="24"/>
          <w:szCs w:val="24"/>
          <w:rtl w:val="0"/>
        </w:rPr>
        <w:t xml:space="preserve">і.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Тобто можна припустити, що кожен мікросервіс має знати адресу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config-server</w:t>
      </w:r>
      <w:r w:rsidDel="00000000" w:rsidR="00000000" w:rsidRPr="00000000">
        <w:rPr>
          <w:sz w:val="24"/>
          <w:szCs w:val="24"/>
          <w:rtl w:val="0"/>
        </w:rPr>
        <w:t xml:space="preserve">, я</w:t>
      </w:r>
      <w:r w:rsidDel="00000000" w:rsidR="00000000" w:rsidRPr="00000000">
        <w:rPr>
          <w:sz w:val="24"/>
          <w:szCs w:val="24"/>
          <w:rtl w:val="0"/>
        </w:rPr>
        <w:t xml:space="preserve">ка має братися з конфігураційного файлу чи передаватися з командного рядка під час його запуску.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Завдання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Запускається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config-server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Запустити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facade-service, counter-service </w:t>
      </w:r>
      <w:r w:rsidDel="00000000" w:rsidR="00000000" w:rsidRPr="00000000">
        <w:rPr>
          <w:sz w:val="24"/>
          <w:szCs w:val="24"/>
          <w:rtl w:val="0"/>
        </w:rPr>
        <w:t xml:space="preserve">та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три екземпляра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logging-service </w:t>
      </w:r>
      <w:r w:rsidDel="00000000" w:rsidR="00000000" w:rsidRPr="00000000">
        <w:rPr>
          <w:sz w:val="24"/>
          <w:szCs w:val="24"/>
          <w:rtl w:val="0"/>
        </w:rPr>
        <w:t xml:space="preserve">(кожен з екземплярів запускається у власному Docker-контейнері),  і далі реєструється в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config-server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Відповідно має запуститись також кластер Hazelcast з трьох серверів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Через HTTP POST записати 10 транзакцій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msg1-msg10</w:t>
      </w:r>
      <w:r w:rsidDel="00000000" w:rsidR="00000000" w:rsidRPr="00000000">
        <w:rPr>
          <w:sz w:val="24"/>
          <w:szCs w:val="24"/>
          <w:rtl w:val="0"/>
        </w:rPr>
        <w:t xml:space="preserve"> через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Показати що повідомлення отримують різні екземпляри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logging-service </w:t>
      </w:r>
      <w:r w:rsidDel="00000000" w:rsidR="00000000" w:rsidRPr="00000000">
        <w:rPr>
          <w:sz w:val="24"/>
          <w:szCs w:val="24"/>
          <w:rtl w:val="0"/>
        </w:rPr>
        <w:t xml:space="preserve">(це має бути видно у логах сервісу)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Через HTTP GET з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facade-service</w:t>
      </w:r>
      <w:r w:rsidDel="00000000" w:rsidR="00000000" w:rsidRPr="00000000">
        <w:rPr>
          <w:sz w:val="24"/>
          <w:szCs w:val="24"/>
          <w:rtl w:val="0"/>
        </w:rPr>
        <w:t xml:space="preserve"> прочитати транзакції, перевірити що значення на рахунках є коректним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відмовостійкості: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Вимкнути чи зробити недоступним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docker pause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та перевірити, що запис транзакцій йде без помилок (бо транзакції до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накопичуються у message queue)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цьому, відповідно GET-запити не мають спрацьовувати, мають або повертати null у якості значень на рахунку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Знову запустити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counter-service</w:t>
      </w:r>
      <w:r w:rsidDel="00000000" w:rsidR="00000000" w:rsidRPr="00000000">
        <w:rPr>
          <w:sz w:val="24"/>
          <w:szCs w:val="24"/>
          <w:rtl w:val="0"/>
        </w:rPr>
        <w:t xml:space="preserve"> та переконатись, що за деякий час він зчитує з черги накопичені до нього транзакції, застосує їх та почне повертати коректні значення рахунків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Вимоги до реалізації</w:t>
      </w:r>
    </w:p>
    <w:p w:rsidR="00000000" w:rsidDel="00000000" w:rsidP="00000000" w:rsidRDefault="00000000" w:rsidRPr="00000000" w14:paraId="0000003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Код всіх три мікросервісів має бути збережений у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GitHub в одному репозиторії</w:t>
      </w:r>
      <w:r w:rsidDel="00000000" w:rsidR="00000000" w:rsidRPr="00000000">
        <w:rPr>
          <w:sz w:val="24"/>
          <w:szCs w:val="24"/>
          <w:rtl w:val="0"/>
        </w:rPr>
        <w:t xml:space="preserve"> у гілці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micro_mq</w:t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Вимоги до протоколу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протоколі має міститись: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посилання на GitHub з проектом 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скріншоти з POST/GET-запитами та відповіді на них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вміст консолі кожного з мікросевісу якщо туди виводиться якась корисна інформація</w:t>
      </w:r>
    </w:p>
    <w:p w:rsidR="00000000" w:rsidDel="00000000" w:rsidP="00000000" w:rsidRDefault="00000000" w:rsidRPr="00000000" w14:paraId="0000003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hazelcast.com/hazelcast/5.5/data-structures/queue" TargetMode="External"/><Relationship Id="rId7" Type="http://schemas.openxmlformats.org/officeDocument/2006/relationships/hyperlink" Target="https://hub.docker.com/r/apache/kafk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