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spacing w:before="0" w:after="200" w:line="264" w:lineRule="auto"/>
        <w:jc w:val="center"/>
      </w:pPr>
      <w:r>
        <w:rPr>
          <w:rFonts w:ascii="Calibri" w:hAnsi="Calibri"/>
          <w:b/>
          <w:i w:val="0"/>
          <w:color w:val="2E74B5"/>
          <w:sz w:val="22"/>
        </w:rPr>
        <w:t>PROJECT DOCUMENTATION</w:t>
      </w:r>
    </w:p>
    <w:p>
      <w:pPr>
        <w:spacing w:before="0" w:after="240" w:line="264" w:lineRule="auto"/>
        <w:jc w:val="center"/>
      </w:pPr>
      <w:r>
        <w:rPr>
          <w:rFonts w:ascii="Calibri" w:hAnsi="Calibri"/>
          <w:b/>
          <w:i w:val="0"/>
          <w:color w:val="1F4D78"/>
          <w:sz w:val="54"/>
        </w:rPr>
        <w:t>Data Engineering PoC - Olist E-Commerce Data Warehouse</w:t>
      </w:r>
    </w:p>
    <w:p>
      <w:pPr>
        <w:spacing w:before="0" w:after="800" w:line="264" w:lineRule="auto"/>
        <w:jc w:val="center"/>
      </w:pPr>
      <w:r>
        <w:rPr>
          <w:rFonts w:ascii="Calibri" w:hAnsi="Calibri"/>
          <w:b w:val="0"/>
          <w:i w:val="0"/>
          <w:color w:val="1F2937"/>
          <w:sz w:val="28"/>
        </w:rPr>
        <w:t>End-to-End Data Engineering Pipeline using Medallion Architecture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96"/>
            <w:shd w:fill="E8EEF5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Prepared by</w:t>
            </w:r>
          </w:p>
        </w:tc>
        <w:tc>
          <w:tcPr>
            <w:tcW w:type="dxa" w:w="3096"/>
            <w:shd w:fill="E8EEF5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Internship / Organization</w:t>
            </w:r>
          </w:p>
        </w:tc>
        <w:tc>
          <w:tcPr>
            <w:tcW w:type="dxa" w:w="3168"/>
            <w:shd w:fill="E8EEF5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Completion Date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Sudharsan S A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KANINI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14 / 07 / 2026</w:t>
            </w:r>
          </w:p>
        </w:tc>
      </w:tr>
    </w:tbl>
    <w:p>
      <w:pPr>
        <w:spacing w:after="40"/>
      </w:pPr>
    </w:p>
    <w:p>
      <w:pPr>
        <w:spacing w:before="1440" w:after="120" w:line="264" w:lineRule="auto"/>
        <w:jc w:val="center"/>
      </w:pPr>
      <w:r>
        <w:rPr>
          <w:rFonts w:ascii="Calibri" w:hAnsi="Calibri"/>
          <w:b w:val="0"/>
          <w:i w:val="0"/>
          <w:color w:val="6B7280"/>
          <w:sz w:val="22"/>
        </w:rPr>
        <w:t>PostgreSQL | Docker | Apache Airflow | FastAPI | React</w:t>
      </w:r>
    </w:p>
    <w:p>
      <w:r>
        <w:br w:type="page"/>
      </w:r>
    </w:p>
    <w:p>
      <w:pPr>
        <w:pStyle w:val="Heading1"/>
        <w:keepNext/>
        <w:spacing w:before="320" w:after="120" w:line="240" w:lineRule="auto"/>
      </w:pPr>
      <w:r>
        <w:rPr>
          <w:rFonts w:ascii="Calibri" w:hAnsi="Calibri"/>
          <w:b/>
          <w:i w:val="0"/>
          <w:color w:val="2E74B5"/>
          <w:sz w:val="32"/>
        </w:rPr>
        <w:t>1. Executive Summary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This project implements an end-to-end data engineering proof of concept for the Olist e-commerce dataset. It ingests CSV source data into PostgreSQL, applies a Bronze-Silver-Gold Medallion Architecture, validates warehouse outputs, exposes analytics through FastAPI, and presents the results in a React dashboard.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The solution is designed to demonstrate practical warehouse engineering: raw data traceability, standardized Silver datasets, Gold analytics tables, batch metadata, incremental loading, validation checks, Apache Airflow orchestration, and customer Slowly Changing Dimension (SCD) processing.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880"/>
            <w:shd w:fill="E8EEF5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Objective</w:t>
            </w:r>
          </w:p>
        </w:tc>
        <w:tc>
          <w:tcPr>
            <w:tcW w:type="dxa" w:w="6480"/>
            <w:shd w:fill="E8EEF5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Delivered capability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Reliable data pipeline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CSV ingestion, batch status tracking, and Docker-hosted PostgreSQL.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Analytics-ready warehouse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Gold revenue, product, and seller performance tables.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Operational governance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Metadata control, validation reporting, incremental customer loading, and SCD history.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Business consumption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FastAPI endpoints and an executive React dashboard.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 w:line="240" w:lineRule="auto"/>
      </w:pPr>
      <w:r>
        <w:rPr>
          <w:rFonts w:ascii="Calibri" w:hAnsi="Calibri"/>
          <w:b/>
          <w:i w:val="0"/>
          <w:color w:val="2E74B5"/>
          <w:sz w:val="32"/>
        </w:rPr>
        <w:t>2. Project Architecture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The architecture separates ingestion, conformance, analytics, validation, and presentation responsibilities. PostgreSQL stores the warehouse schemas; Docker provides the database runtime; Airflow coordinates the warehouse stages; FastAPI serves governed API responses; and React consumes those responses for dashboards.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</w:tblGrid>
      <w:tr>
        <w:tc>
          <w:tcPr>
            <w:tcW w:type="dxa" w:w="1468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CSV Files</w:t>
            </w:r>
          </w:p>
        </w:tc>
        <w:tc>
          <w:tcPr>
            <w:tcW w:type="dxa" w:w="11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>→</w:t>
            </w:r>
          </w:p>
        </w:tc>
        <w:tc>
          <w:tcPr>
            <w:tcW w:type="dxa" w:w="1468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Bronze</w:t>
            </w:r>
          </w:p>
        </w:tc>
        <w:tc>
          <w:tcPr>
            <w:tcW w:type="dxa" w:w="11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>→</w:t>
            </w:r>
          </w:p>
        </w:tc>
        <w:tc>
          <w:tcPr>
            <w:tcW w:type="dxa" w:w="1468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Silver</w:t>
            </w:r>
          </w:p>
        </w:tc>
        <w:tc>
          <w:tcPr>
            <w:tcW w:type="dxa" w:w="11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>→</w:t>
            </w:r>
          </w:p>
        </w:tc>
        <w:tc>
          <w:tcPr>
            <w:tcW w:type="dxa" w:w="1468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Gold</w:t>
            </w:r>
          </w:p>
        </w:tc>
        <w:tc>
          <w:tcPr>
            <w:tcW w:type="dxa" w:w="11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>→</w:t>
            </w:r>
          </w:p>
        </w:tc>
        <w:tc>
          <w:tcPr>
            <w:tcW w:type="dxa" w:w="1468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Validation</w:t>
            </w:r>
          </w:p>
        </w:tc>
        <w:tc>
          <w:tcPr>
            <w:tcW w:type="dxa" w:w="11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>→</w:t>
            </w:r>
          </w:p>
        </w:tc>
        <w:tc>
          <w:tcPr>
            <w:tcW w:type="dxa" w:w="1468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FastAPI</w:t>
            </w:r>
          </w:p>
        </w:tc>
        <w:tc>
          <w:tcPr>
            <w:tcW w:type="dxa" w:w="11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>→</w:t>
            </w:r>
          </w:p>
        </w:tc>
        <w:tc>
          <w:tcPr>
            <w:tcW w:type="dxa" w:w="1468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React Dashboard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880"/>
            <w:shd w:fill="E8EEF5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Component</w:t>
            </w:r>
          </w:p>
        </w:tc>
        <w:tc>
          <w:tcPr>
            <w:tcW w:type="dxa" w:w="6480"/>
            <w:shd w:fill="E8EEF5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Role in the solution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Docker + PostgreSQL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Runs the de_poc database in a reproducible containerized environment.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Bronze / Silver / Gold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Implements raw capture, conformance, and analytics aggregation layers.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Apache Airflow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Runs ingestion, Silver transformations, Gold transformations, and validation as a DAG.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FastAPI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Provides overview, pipeline, quality, medallion, analytics, and SCD endpoints.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React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Renders Overview, Dataset Explorer, Pipeline Health, Data Quality, and Business Intelligence views.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 w:line="240" w:lineRule="auto"/>
      </w:pPr>
      <w:r>
        <w:rPr>
          <w:rFonts w:ascii="Calibri" w:hAnsi="Calibri"/>
          <w:b/>
          <w:i w:val="0"/>
          <w:color w:val="2E74B5"/>
          <w:sz w:val="32"/>
        </w:rPr>
        <w:t>3. Technology Stack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Technology</w:t>
            </w:r>
          </w:p>
        </w:tc>
        <w:tc>
          <w:tcPr>
            <w:tcW w:type="dxa" w:w="7272"/>
            <w:shd w:fill="E8EEF5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Purpose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Python</w:t>
            </w:r>
          </w:p>
        </w:tc>
        <w:tc>
          <w:tcPr>
            <w:tcW w:type="dxa" w:w="7272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Pipeline scripts, ingestion utilities, validation, SCD processing, and FastAPI services.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PostgreSQL</w:t>
            </w:r>
          </w:p>
        </w:tc>
        <w:tc>
          <w:tcPr>
            <w:tcW w:type="dxa" w:w="7272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Warehouse database (de_poc) with bronze, silver, gold, and metadata schemas.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Docker</w:t>
            </w:r>
          </w:p>
        </w:tc>
        <w:tc>
          <w:tcPr>
            <w:tcW w:type="dxa" w:w="7272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Reproducible PostgreSQL 16 runtime and persistent postgres_data volume.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SQLAlchemy</w:t>
            </w:r>
          </w:p>
        </w:tc>
        <w:tc>
          <w:tcPr>
            <w:tcW w:type="dxa" w:w="7272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Database engine and transactional batch control during CSV ingestion.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Pandas</w:t>
            </w:r>
          </w:p>
        </w:tc>
        <w:tc>
          <w:tcPr>
            <w:tcW w:type="dxa" w:w="7272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Reads source CSV files and loads raw Bronze tables.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FastAPI</w:t>
            </w:r>
          </w:p>
        </w:tc>
        <w:tc>
          <w:tcPr>
            <w:tcW w:type="dxa" w:w="7272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REST API layer with a consistent data/meta response envelope.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React + TypeScript</w:t>
            </w:r>
          </w:p>
        </w:tc>
        <w:tc>
          <w:tcPr>
            <w:tcW w:type="dxa" w:w="7272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Dashboard frontend built with React Query, Recharts, and Tailwind CSS.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Apache Airflow</w:t>
            </w:r>
          </w:p>
        </w:tc>
        <w:tc>
          <w:tcPr>
            <w:tcW w:type="dxa" w:w="7272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Orchestrates the warehouse_pipeline DAG.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 w:line="240" w:lineRule="auto"/>
      </w:pPr>
      <w:r>
        <w:rPr>
          <w:rFonts w:ascii="Calibri" w:hAnsi="Calibri"/>
          <w:b/>
          <w:i w:val="0"/>
          <w:color w:val="2E74B5"/>
          <w:sz w:val="32"/>
        </w:rPr>
        <w:t>4. Dataset Overview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The Olist e-commerce dataset represents marketplace activity across customers, orders, products, sellers, payments, reviews, and geolocation. The project uses the CSV extracts as the source system and preserves batch/source metadata during ingestion.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880"/>
            <w:shd w:fill="E8EEF5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Source file / entity</w:t>
            </w:r>
          </w:p>
        </w:tc>
        <w:tc>
          <w:tcPr>
            <w:tcW w:type="dxa" w:w="6480"/>
            <w:shd w:fill="E8EEF5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Warehouse use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customers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Customer identity and city/state attributes; source for customer SCD processing.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orders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Order lifecycle timestamps, status, and customer relationship.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order_items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Item-level price, freight, product, and seller records.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payments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Payment type, installment, and payment value.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products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Product catalog and category attributes.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sellers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Seller identity and location data.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reviews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Customer review score and comments for future experience analysis.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geolocation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State, city, latitude, longitude, and postal-prefix reference data.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 w:line="240" w:lineRule="auto"/>
      </w:pPr>
      <w:r>
        <w:rPr>
          <w:rFonts w:ascii="Calibri" w:hAnsi="Calibri"/>
          <w:b/>
          <w:i w:val="0"/>
          <w:color w:val="2E74B5"/>
          <w:sz w:val="32"/>
        </w:rPr>
        <w:t>5. Medallion Architecture</w:t>
      </w:r>
    </w:p>
    <w:p>
      <w:pPr>
        <w:pStyle w:val="Heading2"/>
        <w:keepNext/>
        <w:spacing w:before="200" w:after="120" w:line="240" w:lineRule="auto"/>
      </w:pPr>
      <w:r>
        <w:rPr>
          <w:rFonts w:ascii="Calibri" w:hAnsi="Calibri"/>
          <w:b/>
          <w:i w:val="0"/>
          <w:color w:val="2E74B5"/>
          <w:sz w:val="26"/>
        </w:rPr>
        <w:t>Bronze Layer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Bronze preserves raw ingested records, including batch_id, source_system, and load timestamps. Representative tables include bronze.customers_raw, bronze.orders_raw, bronze.order_items_raw, bronze.payments_raw, bronze.products_raw, bronze.sellers_raw, bronze.reviews_raw, bronze.geolocation_raw, and bronze.category_translation_raw.</w:t>
      </w:r>
    </w:p>
    <w:p>
      <w:pPr>
        <w:pStyle w:val="Heading2"/>
        <w:keepNext/>
        <w:spacing w:before="200" w:after="120" w:line="240" w:lineRule="auto"/>
      </w:pPr>
      <w:r>
        <w:rPr>
          <w:rFonts w:ascii="Calibri" w:hAnsi="Calibri"/>
          <w:b/>
          <w:i w:val="0"/>
          <w:color w:val="2E74B5"/>
          <w:sz w:val="26"/>
        </w:rPr>
        <w:t>Silver Layer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Silver standardizes and cleans operational data. Core tables are silver.customers, silver.orders, silver.products, silver.sellers, silver.payments, and silver.order_fact. Customer city and state are normalized to uppercase, and order_fact joins order headers with item records. silver.customers_scd adds Type 1 and Type 2 customer history support.</w:t>
      </w:r>
    </w:p>
    <w:p>
      <w:pPr>
        <w:pStyle w:val="Heading2"/>
        <w:keepNext/>
        <w:spacing w:before="200" w:after="120" w:line="240" w:lineRule="auto"/>
      </w:pPr>
      <w:r>
        <w:rPr>
          <w:rFonts w:ascii="Calibri" w:hAnsi="Calibri"/>
          <w:b/>
          <w:i w:val="0"/>
          <w:color w:val="2E74B5"/>
          <w:sz w:val="26"/>
        </w:rPr>
        <w:t>Gold Layer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Gold exposes business-ready aggregations: gold.sales_summary, gold.product_performance, and gold.seller_performance. These tables support revenue trends, category rankings, and seller leaderboards in the dashboard.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468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Raw CSV</w:t>
            </w:r>
          </w:p>
        </w:tc>
        <w:tc>
          <w:tcPr>
            <w:tcW w:type="dxa" w:w="11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>→</w:t>
            </w:r>
          </w:p>
        </w:tc>
        <w:tc>
          <w:tcPr>
            <w:tcW w:type="dxa" w:w="1468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bronze.*_raw</w:t>
            </w:r>
          </w:p>
        </w:tc>
        <w:tc>
          <w:tcPr>
            <w:tcW w:type="dxa" w:w="11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>→</w:t>
            </w:r>
          </w:p>
        </w:tc>
        <w:tc>
          <w:tcPr>
            <w:tcW w:type="dxa" w:w="1468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silver.*</w:t>
            </w:r>
          </w:p>
        </w:tc>
        <w:tc>
          <w:tcPr>
            <w:tcW w:type="dxa" w:w="11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>→</w:t>
            </w:r>
          </w:p>
        </w:tc>
        <w:tc>
          <w:tcPr>
            <w:tcW w:type="dxa" w:w="1468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gold.*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 w:line="240" w:lineRule="auto"/>
      </w:pPr>
      <w:r>
        <w:rPr>
          <w:rFonts w:ascii="Calibri" w:hAnsi="Calibri"/>
          <w:b/>
          <w:i w:val="0"/>
          <w:color w:val="2E74B5"/>
          <w:sz w:val="32"/>
        </w:rPr>
        <w:t>6. ETL Pipeline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The pipeline follows CSV -&gt; Bronze -&gt; Silver -&gt; Gold. Ingestion scripts create a metadata.batch_control record, read CSV data through Pandas, enrich it with source and batch metadata, append it to the Bronze schema, and update the batch status when complete.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880"/>
            <w:shd w:fill="E8EEF5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Capability</w:t>
            </w:r>
          </w:p>
        </w:tc>
        <w:tc>
          <w:tcPr>
            <w:tcW w:type="dxa" w:w="6480"/>
            <w:shd w:fill="E8EEF5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Implementation in repository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Batch processing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metadata.batch_control stores pipeline_name, status, timing, processed records, and rejected records.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Incremental loading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scripts/incremental_load.py reads metadata.load_tracker, selects Bronze customer rows newer than last_batch_id, then updates the tracker.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Silver transformation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scripts/silver_transformations.py executes 01_customers.sql through 06_order_fact.sql.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Gold transformation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scripts/gold_transformations.py executes sales, product, and seller aggregation SQL.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Audit tracking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Pipeline and validation endpoints expose batch metadata, records processed, duration, and validation status.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 w:line="240" w:lineRule="auto"/>
      </w:pPr>
      <w:r>
        <w:rPr>
          <w:rFonts w:ascii="Calibri" w:hAnsi="Calibri"/>
          <w:b/>
          <w:i w:val="0"/>
          <w:color w:val="2E74B5"/>
          <w:sz w:val="32"/>
        </w:rPr>
        <w:t>7. Data Quality and Validation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The validation script checks row availability across the conformed and analytics layers: Silver customers, orders, products, sellers, payments, order_fact, and the three Gold tables. API quality endpoints additionally expose row counts, integrity checks, validation results, and a quality score.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880"/>
            <w:shd w:fill="E8EEF5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Validation example</w:t>
            </w:r>
          </w:p>
        </w:tc>
        <w:tc>
          <w:tcPr>
            <w:tcW w:type="dxa" w:w="6480"/>
            <w:shd w:fill="E8EEF5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Purpose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Record counts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Confirms that expected Silver and Gold datasets contain rows after transformation.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Null / completeness checks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Supported by the quality validation framework for operational field quality.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Integrity checks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Checks duplicate customers and customer/order referential integrity.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Reconciliation checks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Compares Bronze and Silver entity row counts for customer, order, product, seller, and payment entities.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1F2937"/>
          <w:sz w:val="22"/>
        </w:rPr>
        <w:t>Data Quality Score = 100</w:t>
      </w:r>
      <w:r>
        <w:rPr>
          <w:rFonts w:ascii="Calibri" w:hAnsi="Calibri"/>
          <w:b w:val="0"/>
          <w:i w:val="0"/>
          <w:color w:val="1F2937"/>
          <w:sz w:val="22"/>
        </w:rPr>
        <w:t xml:space="preserve"> when the latest batch completes successfully with zero rejected records, as exposed through the quality and analytics dashboard posture.</w:t>
      </w:r>
    </w:p>
    <w:p>
      <w:pPr>
        <w:pStyle w:val="Heading1"/>
        <w:keepNext/>
        <w:spacing w:before="320" w:after="120" w:line="240" w:lineRule="auto"/>
      </w:pPr>
      <w:r>
        <w:rPr>
          <w:rFonts w:ascii="Calibri" w:hAnsi="Calibri"/>
          <w:b/>
          <w:i w:val="0"/>
          <w:color w:val="2E74B5"/>
          <w:sz w:val="32"/>
        </w:rPr>
        <w:t>8. Slowly Changing Dimensions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The project adds silver.customers_scd for customer city/state dimension management. It stores customer_id, city, state, effective start/end dates, is_current, version_number, and created_at. A partial unique index ensures only one current version per customer.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SCD approach</w:t>
            </w:r>
          </w:p>
        </w:tc>
        <w:tc>
          <w:tcPr>
            <w:tcW w:type="dxa" w:w="7128"/>
            <w:shd w:fill="E8EEF5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Behavior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SCD Type 1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Overwrites the current customer_city and customer_state values; no additional history version is created.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SCD Type 2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Detects city/state changes, expires the current row, records effective_end_date, sets is_current to false, and inserts the next version.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Demonstrated customer: 00012a2ce6f8dcda20d059ce98491703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468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Version 1</w:t>
            </w:r>
          </w:p>
        </w:tc>
        <w:tc>
          <w:tcPr>
            <w:tcW w:type="dxa" w:w="11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>→</w:t>
            </w:r>
          </w:p>
        </w:tc>
        <w:tc>
          <w:tcPr>
            <w:tcW w:type="dxa" w:w="1468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Change Detected</w:t>
            </w:r>
          </w:p>
        </w:tc>
        <w:tc>
          <w:tcPr>
            <w:tcW w:type="dxa" w:w="11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>→</w:t>
            </w:r>
          </w:p>
        </w:tc>
        <w:tc>
          <w:tcPr>
            <w:tcW w:type="dxa" w:w="1468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Version 2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Version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City</w:t>
            </w:r>
          </w:p>
        </w:tc>
        <w:tc>
          <w:tcPr>
            <w:tcW w:type="dxa" w:w="1655"/>
            <w:shd w:fill="E8EEF5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Current state</w:t>
            </w:r>
          </w:p>
        </w:tc>
        <w:tc>
          <w:tcPr>
            <w:tcW w:type="dxa" w:w="4896"/>
            <w:shd w:fill="E8EEF5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History treatment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OSASCO</w:t>
            </w:r>
          </w:p>
        </w:tc>
        <w:tc>
          <w:tcPr>
            <w:tcW w:type="dxa" w:w="165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Historical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Preserved with effective_end_date and is_current = false.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2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DEMO_CITY_A</w:t>
            </w:r>
          </w:p>
        </w:tc>
        <w:tc>
          <w:tcPr>
            <w:tcW w:type="dxa" w:w="165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Current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Inserted as the active row with a new effective_start_date.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The FastAPI SCD endpoints are GET /api/v1/scd/summary and GET /api/v1/scd/history/{customer_id}. The dashboard uses the history response to render the version timeline.</w:t>
      </w:r>
    </w:p>
    <w:p>
      <w:pPr>
        <w:pStyle w:val="Heading1"/>
        <w:keepNext/>
        <w:spacing w:before="320" w:after="120" w:line="240" w:lineRule="auto"/>
      </w:pPr>
      <w:r>
        <w:rPr>
          <w:rFonts w:ascii="Calibri" w:hAnsi="Calibri"/>
          <w:b/>
          <w:i w:val="0"/>
          <w:color w:val="2E74B5"/>
          <w:sz w:val="32"/>
        </w:rPr>
        <w:t>9. Airflow Orchestration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airflow/dags/warehouse_pipeline.py defines the warehouse_pipeline DAG with four BashOperator tasks: bronze_ingestion, silver_transformations, gold_transformations, and validation. The DAG is manual (schedule=None), starts on 2026-07-01, and executes the stages sequentially.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468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bronze_ingestion</w:t>
            </w:r>
          </w:p>
        </w:tc>
        <w:tc>
          <w:tcPr>
            <w:tcW w:type="dxa" w:w="11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>→</w:t>
            </w:r>
          </w:p>
        </w:tc>
        <w:tc>
          <w:tcPr>
            <w:tcW w:type="dxa" w:w="1468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silver_transformations</w:t>
            </w:r>
          </w:p>
        </w:tc>
        <w:tc>
          <w:tcPr>
            <w:tcW w:type="dxa" w:w="11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>→</w:t>
            </w:r>
          </w:p>
        </w:tc>
        <w:tc>
          <w:tcPr>
            <w:tcW w:type="dxa" w:w="1468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gold_transformations</w:t>
            </w:r>
          </w:p>
        </w:tc>
        <w:tc>
          <w:tcPr>
            <w:tcW w:type="dxa" w:w="11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>→</w:t>
            </w:r>
          </w:p>
        </w:tc>
        <w:tc>
          <w:tcPr>
            <w:tcW w:type="dxa" w:w="1468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validation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Airflow provides a single operational view for pipeline execution, task status, and failure monitoring while the batch_control table provides the persisted warehouse metadata.</w:t>
      </w:r>
    </w:p>
    <w:p>
      <w:pPr>
        <w:pStyle w:val="Heading1"/>
        <w:keepNext/>
        <w:spacing w:before="320" w:after="120" w:line="240" w:lineRule="auto"/>
      </w:pPr>
      <w:r>
        <w:rPr>
          <w:rFonts w:ascii="Calibri" w:hAnsi="Calibri"/>
          <w:b/>
          <w:i w:val="0"/>
          <w:color w:val="2E74B5"/>
          <w:sz w:val="32"/>
        </w:rPr>
        <w:t>10. Dashboard Overview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376"/>
            <w:shd w:fill="E8EEF5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Dashboard area</w:t>
            </w:r>
          </w:p>
        </w:tc>
        <w:tc>
          <w:tcPr>
            <w:tcW w:type="dxa" w:w="6983"/>
            <w:shd w:fill="E8EEF5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Purpose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Overview</w:t>
            </w:r>
          </w:p>
        </w:tc>
        <w:tc>
          <w:tcPr>
            <w:tcW w:type="dxa" w:w="6983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Warehouse totals and a visible project feature inventory.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Dataset Explorer</w:t>
            </w:r>
          </w:p>
        </w:tc>
        <w:tc>
          <w:tcPr>
            <w:tcW w:type="dxa" w:w="6983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Bronze, Silver, Gold, and Business Transformations cards with table-level lineage and detail.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Pipeline Health</w:t>
            </w:r>
          </w:p>
        </w:tc>
        <w:tc>
          <w:tcPr>
            <w:tcW w:type="dxa" w:w="6983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Latest batch status, duration, rows processed, validation, capability cards, history, and batch summary.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Data Quality</w:t>
            </w:r>
          </w:p>
        </w:tc>
        <w:tc>
          <w:tcPr>
            <w:tcW w:type="dxa" w:w="6983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Quality score, row counts, integrity checks, and validation result visibility.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Business Intelligence</w:t>
            </w:r>
          </w:p>
        </w:tc>
        <w:tc>
          <w:tcPr>
            <w:tcW w:type="dxa" w:w="6983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Revenue trend, product categories, seller leaderboard, payment mix, funnel, geographic treemap, and SCD timeline.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The dashboard is backed by real API data. Key analytics endpoints include /api/v1/analytics/revenue-trend, /top-categories, /seller-performance, and /payment-distribution; SCD views use the two SCD endpoints listed above.</w:t>
      </w:r>
    </w:p>
    <w:p>
      <w:pPr>
        <w:pStyle w:val="Heading1"/>
        <w:keepNext/>
        <w:spacing w:before="320" w:after="120" w:line="240" w:lineRule="auto"/>
      </w:pPr>
      <w:r>
        <w:rPr>
          <w:rFonts w:ascii="Calibri" w:hAnsi="Calibri"/>
          <w:b/>
          <w:i w:val="0"/>
          <w:color w:val="2E74B5"/>
          <w:sz w:val="32"/>
        </w:rPr>
        <w:t>11. Sample Code Snippets</w:t>
      </w:r>
    </w:p>
    <w:p>
      <w:pPr>
        <w:spacing w:before="120" w:after="60" w:line="264" w:lineRule="auto"/>
      </w:pPr>
      <w:r>
        <w:rPr>
          <w:rFonts w:ascii="Calibri" w:hAnsi="Calibri"/>
          <w:b/>
          <w:i w:val="0"/>
          <w:color w:val="1F4D78"/>
          <w:sz w:val="20"/>
        </w:rPr>
        <w:t>Bronze ingestion - create a batch record (scripts/ingestion/load_customers.py)</w:t>
      </w:r>
    </w:p>
    <w:p>
      <w:pPr>
        <w:spacing w:after="120" w:line="240" w:lineRule="auto"/>
        <w:ind w:left="288"/>
        <w:shd w:fill="F2F4F7"/>
      </w:pPr>
      <w:r>
        <w:rPr>
          <w:rFonts w:ascii="Consolas" w:hAnsi="Consolas"/>
          <w:color w:val="1F2937"/>
          <w:sz w:val="16"/>
        </w:rPr>
        <w:t>result = conn.execute(text("""</w:t>
        <w:br/>
        <w:t xml:space="preserve">    INSERT INTO metadata.batch_control (pipeline_name, status)</w:t>
        <w:br/>
        <w:t xml:space="preserve">    VALUES ('customers_ingestion', 'RUNNING')</w:t>
        <w:br/>
        <w:t xml:space="preserve">    RETURNING batch_id</w:t>
        <w:br/>
        <w:t>"""))</w:t>
        <w:br/>
        <w:t>batch_id = result.scalar()</w:t>
      </w:r>
    </w:p>
    <w:p>
      <w:pPr>
        <w:spacing w:before="120" w:after="60" w:line="264" w:lineRule="auto"/>
      </w:pPr>
      <w:r>
        <w:rPr>
          <w:rFonts w:ascii="Calibri" w:hAnsi="Calibri"/>
          <w:b/>
          <w:i w:val="0"/>
          <w:color w:val="1F4D78"/>
          <w:sz w:val="20"/>
        </w:rPr>
        <w:t>Silver transformation - standardize customer location (sql/silver/01_customers.sql)</w:t>
      </w:r>
    </w:p>
    <w:p>
      <w:pPr>
        <w:spacing w:after="120" w:line="240" w:lineRule="auto"/>
        <w:ind w:left="288"/>
        <w:shd w:fill="F2F4F7"/>
      </w:pPr>
      <w:r>
        <w:rPr>
          <w:rFonts w:ascii="Consolas" w:hAnsi="Consolas"/>
          <w:color w:val="1F2937"/>
          <w:sz w:val="16"/>
        </w:rPr>
        <w:t>SELECT DISTINCT ON (customer_id)</w:t>
        <w:br/>
        <w:t xml:space="preserve">    customer_id, customer_unique_id,</w:t>
        <w:br/>
        <w:t xml:space="preserve">    UPPER(customer_city), UPPER(customer_state), batch_id</w:t>
        <w:br/>
        <w:t>FROM bronze.customers_raw</w:t>
        <w:br/>
        <w:t>ORDER BY customer_id, batch_id DESC;</w:t>
      </w:r>
    </w:p>
    <w:p>
      <w:pPr>
        <w:spacing w:before="120" w:after="60" w:line="264" w:lineRule="auto"/>
      </w:pPr>
      <w:r>
        <w:rPr>
          <w:rFonts w:ascii="Calibri" w:hAnsi="Calibri"/>
          <w:b/>
          <w:i w:val="0"/>
          <w:color w:val="1F4D78"/>
          <w:sz w:val="20"/>
        </w:rPr>
        <w:t>Gold aggregation - daily revenue (sql/gold/01_sales_summary.sql)</w:t>
      </w:r>
    </w:p>
    <w:p>
      <w:pPr>
        <w:spacing w:after="120" w:line="240" w:lineRule="auto"/>
        <w:ind w:left="288"/>
        <w:shd w:fill="F2F4F7"/>
      </w:pPr>
      <w:r>
        <w:rPr>
          <w:rFonts w:ascii="Consolas" w:hAnsi="Consolas"/>
          <w:color w:val="1F2937"/>
          <w:sz w:val="16"/>
        </w:rPr>
        <w:t>SELECT DATE(purchase_timestamp),</w:t>
        <w:br/>
        <w:t xml:space="preserve">       COUNT(DISTINCT order_id), SUM(price), SUM(freight_value)</w:t>
        <w:br/>
        <w:t>FROM silver.order_fact</w:t>
        <w:br/>
        <w:t>GROUP BY DATE(purchase_timestamp);</w:t>
      </w:r>
    </w:p>
    <w:p>
      <w:pPr>
        <w:spacing w:before="120" w:after="60" w:line="264" w:lineRule="auto"/>
      </w:pPr>
      <w:r>
        <w:rPr>
          <w:rFonts w:ascii="Calibri" w:hAnsi="Calibri"/>
          <w:b/>
          <w:i w:val="0"/>
          <w:color w:val="1F4D78"/>
          <w:sz w:val="20"/>
        </w:rPr>
        <w:t>SCD Type 2 - expire current row (scripts/scd.py)</w:t>
      </w:r>
    </w:p>
    <w:p>
      <w:pPr>
        <w:spacing w:after="120" w:line="240" w:lineRule="auto"/>
        <w:ind w:left="288"/>
        <w:shd w:fill="F2F4F7"/>
      </w:pPr>
      <w:r>
        <w:rPr>
          <w:rFonts w:ascii="Consolas" w:hAnsi="Consolas"/>
          <w:color w:val="1F2937"/>
          <w:sz w:val="16"/>
        </w:rPr>
        <w:t>UPDATE silver.customers_scd AS target</w:t>
        <w:br/>
        <w:t>SET effective_end_date = CURRENT_TIMESTAMP, is_current = FALSE</w:t>
        <w:br/>
        <w:t>FROM silver.customers AS source</w:t>
        <w:br/>
        <w:t>WHERE target.customer_id = source.customer_id</w:t>
        <w:br/>
        <w:t xml:space="preserve">  AND target.is_current = TRUE</w:t>
        <w:br/>
        <w:t xml:space="preserve">  AND (target.customer_city IS DISTINCT FROM source.customer_city</w:t>
        <w:br/>
        <w:t xml:space="preserve">       OR target.customer_state IS DISTINCT FROM source.customer_state);</w:t>
      </w:r>
    </w:p>
    <w:p>
      <w:pPr>
        <w:spacing w:before="120" w:after="60" w:line="264" w:lineRule="auto"/>
      </w:pPr>
      <w:r>
        <w:rPr>
          <w:rFonts w:ascii="Calibri" w:hAnsi="Calibri"/>
          <w:b/>
          <w:i w:val="0"/>
          <w:color w:val="1F4D78"/>
          <w:sz w:val="20"/>
        </w:rPr>
        <w:t>Validation - verify a transformed table (scripts/validation.py)</w:t>
      </w:r>
    </w:p>
    <w:p>
      <w:pPr>
        <w:spacing w:after="120" w:line="240" w:lineRule="auto"/>
        <w:ind w:left="288"/>
        <w:shd w:fill="F2F4F7"/>
      </w:pPr>
      <w:r>
        <w:rPr>
          <w:rFonts w:ascii="Consolas" w:hAnsi="Consolas"/>
          <w:color w:val="1F2937"/>
          <w:sz w:val="16"/>
        </w:rPr>
        <w:t>VALIDATIONS = [</w:t>
        <w:br/>
        <w:t xml:space="preserve">    ('Silver Customers', 'SELECT COUNT(*) FROM silver.customers'),</w:t>
        <w:br/>
        <w:t xml:space="preserve">    ('Gold Sales Summary', 'SELECT COUNT(*) FROM gold.sales_summary'),</w:t>
        <w:br/>
        <w:t>]</w:t>
      </w:r>
    </w:p>
    <w:p>
      <w:pPr>
        <w:spacing w:before="120" w:after="60" w:line="264" w:lineRule="auto"/>
      </w:pPr>
      <w:r>
        <w:rPr>
          <w:rFonts w:ascii="Calibri" w:hAnsi="Calibri"/>
          <w:b/>
          <w:i w:val="0"/>
          <w:color w:val="1F4D78"/>
          <w:sz w:val="20"/>
        </w:rPr>
        <w:t>FastAPI endpoint - customer SCD history (backend/app/routes/scd.py)</w:t>
      </w:r>
    </w:p>
    <w:p>
      <w:pPr>
        <w:spacing w:after="120" w:line="240" w:lineRule="auto"/>
        <w:ind w:left="288"/>
        <w:shd w:fill="F2F4F7"/>
      </w:pPr>
      <w:r>
        <w:rPr>
          <w:rFonts w:ascii="Consolas" w:hAnsi="Consolas"/>
          <w:color w:val="1F2937"/>
          <w:sz w:val="16"/>
        </w:rPr>
        <w:t>@router.get('/history/{customer_id}')</w:t>
        <w:br/>
        <w:t>def get_history(customer_id: str):</w:t>
        <w:br/>
        <w:t xml:space="preserve">    history = get_customer_scd_history(customer_id)</w:t>
        <w:br/>
        <w:t xml:space="preserve">    if history is None:</w:t>
        <w:br/>
        <w:t xml:space="preserve">        raise HTTPException(status_code=404)</w:t>
        <w:br/>
        <w:t xml:space="preserve">    return success_response(history.model_dump())</w:t>
      </w:r>
    </w:p>
    <w:p>
      <w:pPr>
        <w:pStyle w:val="Heading1"/>
        <w:keepNext/>
        <w:spacing w:before="320" w:after="120" w:line="240" w:lineRule="auto"/>
      </w:pPr>
      <w:r>
        <w:rPr>
          <w:rFonts w:ascii="Calibri" w:hAnsi="Calibri"/>
          <w:b/>
          <w:i w:val="0"/>
          <w:color w:val="2E74B5"/>
          <w:sz w:val="32"/>
        </w:rPr>
        <w:t>12. Challenges and Solutions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880"/>
            <w:shd w:fill="E8EEF5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Challenge</w:t>
            </w:r>
          </w:p>
        </w:tc>
        <w:tc>
          <w:tcPr>
            <w:tcW w:type="dxa" w:w="6480"/>
            <w:shd w:fill="E8EEF5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Applied solution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PostgreSQL connectivity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Centralized connection helpers and Docker environment variables provide consistent access to de_poc.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Docker networking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Pipeline scripts use the de_poc_postgres container hostname within the Docker/Airflow environment.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Incremental updates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metadata.load_tracker records the last processed customer batch and limits the next load to newer Bronze rows.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Customer attribute changes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SCD Type 2 expires the existing current record and inserts a versioned replacement.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Dashboard integration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React Query services consume FastAPI's consistent data/meta envelope and display loading, empty, and error states.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 w:line="240" w:lineRule="auto"/>
      </w:pPr>
      <w:r>
        <w:rPr>
          <w:rFonts w:ascii="Calibri" w:hAnsi="Calibri"/>
          <w:b/>
          <w:i w:val="0"/>
          <w:color w:val="2E74B5"/>
          <w:sz w:val="32"/>
        </w:rPr>
        <w:t>13. Outcomes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The proof of concept demonstrates a complete data engineering path from e-commerce CSV data to governed warehouse analytics and a presentation-ready dashboard.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Implemented: Bronze Layer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Implemented: Silver Layer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Implemented: Gold Layer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Implemented: Incremental Loading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Implemented: Metadata Framework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Implemented: Audit Framework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Implemented: Validation Framework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Implemented: SCD Type 1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Implemented: SCD Type 2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Implemented: Airflow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Implemented: FastAPI APIs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Implemented: Dashboard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The resulting platform provides traceable ingestion, clean and reusable dimensional data, business metrics, observable pipeline status, and a concrete demonstration of customer history management.</w:t>
      </w:r>
    </w:p>
    <w:sectPr w:rsidR="00FC693F" w:rsidRPr="0006063C" w:rsidSect="00034616">
      <w:footerReference w:type="default" r:id="rId9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B7280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Engineering PoC - Olist E-Commerce Data Warehouse</dc:title>
  <dc:subject>Internship project documentation</dc:subject>
  <dc:creator>Sudharsan S 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