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0"/>
      </w:pPr>
    </w:p>
    <w:p>
      <w:pPr>
        <w:spacing w:before="0" w:after="200" w:line="264" w:lineRule="auto"/>
        <w:jc w:val="center"/>
      </w:pPr>
      <w:r>
        <w:rPr>
          <w:rFonts w:ascii="Calibri" w:hAnsi="Calibri"/>
          <w:b/>
          <w:i w:val="0"/>
          <w:color w:val="2E74B5"/>
          <w:sz w:val="22"/>
        </w:rPr>
        <w:t>PROJECT DOCUMENTATION</w:t>
      </w:r>
    </w:p>
    <w:p>
      <w:pPr>
        <w:spacing w:before="0" w:after="240" w:line="264" w:lineRule="auto"/>
        <w:jc w:val="center"/>
      </w:pPr>
      <w:r>
        <w:rPr>
          <w:rFonts w:ascii="Calibri" w:hAnsi="Calibri"/>
          <w:b/>
          <w:i w:val="0"/>
          <w:color w:val="1F4D78"/>
          <w:sz w:val="54"/>
        </w:rPr>
        <w:t>Data Engineering PoC - Olist E-Commerce Data Warehouse</w:t>
      </w:r>
    </w:p>
    <w:p>
      <w:pPr>
        <w:spacing w:before="0" w:after="800" w:line="264" w:lineRule="auto"/>
        <w:jc w:val="center"/>
      </w:pPr>
      <w:r>
        <w:rPr>
          <w:rFonts w:ascii="Calibri" w:hAnsi="Calibri"/>
          <w:b w:val="0"/>
          <w:i w:val="0"/>
          <w:color w:val="1F2937"/>
          <w:sz w:val="28"/>
        </w:rPr>
        <w:t>End-to-End Data Engineering Pipeline using Medallion Architecture</w:t>
      </w:r>
    </w:p>
    <w:tbl>
      <w:tblPr>
        <w:tblStyle w:val="TableGrid"/>
        <w:tblW w:type="auto" w:w="0"/>
        <w:tblLayout w:type="fixed"/>
        <w:tblLook w:firstColumn="1" w:firstRow="1" w:lastColumn="0" w:lastRow="0" w:noHBand="0" w:noVBand="1" w:val="04A0"/>
      </w:tblPr>
      <w:tblGrid>
        <w:gridCol w:w="3096"/>
        <w:gridCol w:w="3096"/>
        <w:gridCol w:w="3168"/>
      </w:tblGrid>
      <w:tr>
        <w:trPr>
          <w:tblHeader w:val="true"/>
        </w:trPr>
        <w:tc>
          <w:tcPr>
            <w:tcW w:type="dxa" w:w="3096"/>
            <w:shd w:fill="E8EEF5"/>
            <w:vAlign w:val="center"/>
          </w:tcPr>
          <w:p>
            <w:pPr>
              <w:spacing w:before="0" w:after="0" w:line="264" w:lineRule="auto"/>
            </w:pPr>
            <w:r>
              <w:rPr>
                <w:rFonts w:ascii="Calibri" w:hAnsi="Calibri"/>
                <w:b/>
                <w:i w:val="0"/>
                <w:color w:val="1F4D78"/>
                <w:sz w:val="20"/>
              </w:rPr>
              <w:t xml:space="preserve">Prepared by</w:t>
            </w:r>
          </w:p>
        </w:tc>
        <w:tc>
          <w:tcPr>
            <w:tcW w:type="dxa" w:w="3096"/>
            <w:shd w:fill="E8EEF5"/>
            <w:vAlign w:val="center"/>
          </w:tcPr>
          <w:p>
            <w:pPr>
              <w:spacing w:before="0" w:after="0" w:line="264" w:lineRule="auto"/>
            </w:pPr>
            <w:r>
              <w:rPr>
                <w:rFonts w:ascii="Calibri" w:hAnsi="Calibri"/>
                <w:b/>
                <w:i w:val="0"/>
                <w:color w:val="1F4D78"/>
                <w:sz w:val="20"/>
              </w:rPr>
              <w:t xml:space="preserve">Internship / Organization</w:t>
            </w:r>
          </w:p>
        </w:tc>
        <w:tc>
          <w:tcPr>
            <w:tcW w:type="dxa" w:w="3168"/>
            <w:shd w:fill="E8EEF5"/>
            <w:vAlign w:val="center"/>
          </w:tcPr>
          <w:p>
            <w:pPr>
              <w:spacing w:before="0" w:after="0" w:line="264" w:lineRule="auto"/>
            </w:pPr>
            <w:r>
              <w:rPr>
                <w:rFonts w:ascii="Calibri" w:hAnsi="Calibri"/>
                <w:b/>
                <w:i w:val="0"/>
                <w:color w:val="1F4D78"/>
                <w:sz w:val="20"/>
              </w:rPr>
              <w:t xml:space="preserve">Completion Date</w:t>
            </w:r>
          </w:p>
        </w:tc>
      </w:tr>
      <w:tr>
        <w:tc>
          <w:tcPr>
            <w:tcW w:type="dxa" w:w="3096"/>
            <w:vAlign w:val="center"/>
          </w:tcPr>
          <w:p>
            <w:pPr>
              <w:spacing w:before="0" w:after="0" w:line="252" w:lineRule="auto"/>
            </w:pPr>
            <w:r>
              <w:rPr>
                <w:rFonts w:ascii="Calibri" w:hAnsi="Calibri"/>
                <w:b w:val="0"/>
                <w:i w:val="0"/>
                <w:color w:val="1F2937"/>
                <w:sz w:val="19"/>
              </w:rPr>
              <w:t xml:space="preserve">Sudharsan S A</w:t>
            </w:r>
          </w:p>
        </w:tc>
        <w:tc>
          <w:tcPr>
            <w:tcW w:type="dxa" w:w="3096"/>
            <w:vAlign w:val="center"/>
          </w:tcPr>
          <w:p>
            <w:pPr>
              <w:spacing w:before="0" w:after="0" w:line="252" w:lineRule="auto"/>
            </w:pPr>
            <w:r>
              <w:rPr>
                <w:rFonts w:ascii="Calibri" w:hAnsi="Calibri"/>
                <w:b w:val="0"/>
                <w:i w:val="0"/>
                <w:color w:val="1F2937"/>
                <w:sz w:val="19"/>
              </w:rPr>
              <w:t xml:space="preserve">KANINI</w:t>
            </w:r>
          </w:p>
        </w:tc>
        <w:tc>
          <w:tcPr>
            <w:tcW w:type="dxa" w:w="3168"/>
            <w:vAlign w:val="center"/>
          </w:tcPr>
          <w:p>
            <w:pPr>
              <w:spacing w:before="0" w:after="0" w:line="252" w:lineRule="auto"/>
            </w:pPr>
            <w:r>
              <w:rPr>
                <w:rFonts w:ascii="Calibri" w:hAnsi="Calibri"/>
                <w:b w:val="0"/>
                <w:i w:val="0"/>
                <w:color w:val="1F2937"/>
                <w:sz w:val="19"/>
              </w:rPr>
              <w:t xml:space="preserve">19 / 07 / 2026</w:t>
            </w:r>
          </w:p>
        </w:tc>
      </w:tr>
    </w:tbl>
    <w:p>
      <w:pPr>
        <w:spacing w:after="40"/>
      </w:pPr>
    </w:p>
    <w:p>
      <w:pPr>
        <w:spacing w:after="40"/>
      </w:pPr>
    </w:p>
    <w:p>
      <w:pPr>
        <w:spacing w:before="1440" w:after="80" w:line="264" w:lineRule="auto"/>
        <w:jc w:val="center"/>
      </w:pPr>
      <w:r>
        <w:rPr>
          <w:rFonts w:ascii="Calibri" w:hAnsi="Calibri"/>
          <w:b w:val="0"/>
          <w:i w:val="0"/>
          <w:color w:val="6B7280"/>
          <w:sz w:val="22"/>
        </w:rPr>
        <w:t>PostgreSQL | Docker | Apache Airflow | FastAPI | React | Great Expectations</w:t>
      </w:r>
    </w:p>
    <w:p>
      <w:pPr>
        <w:spacing w:before="0" w:after="120" w:line="264" w:lineRule="auto"/>
        <w:jc w:val="center"/>
      </w:pPr>
      <w:r>
        <w:rPr>
          <w:rFonts w:ascii="Calibri" w:hAnsi="Calibri"/>
          <w:b w:val="0"/>
          <w:i/>
          <w:color w:val="6B7280"/>
          <w:sz w:val="18"/>
        </w:rPr>
        <w:t>Documentation Revision 2.0 — reflects the current implemented state of the platform.</w:t>
      </w:r>
    </w:p>
    <w:p>
      <w:r>
        <w:br w:type="page"/>
      </w:r>
    </w:p>
    <w:p>
      <w:pPr>
        <w:pStyle w:val="Heading1"/>
        <w:keepNext/>
        <w:spacing w:before="320" w:after="120" w:line="240" w:lineRule="auto"/>
      </w:pPr>
      <w:r>
        <w:rPr>
          <w:rFonts w:ascii="Calibri" w:hAnsi="Calibri"/>
          <w:b/>
          <w:i w:val="0"/>
          <w:color w:val="2E74B5"/>
          <w:sz w:val="32"/>
        </w:rPr>
        <w:t>1. Executive Summary</w:t>
      </w:r>
    </w:p>
    <w:p>
      <w:pPr>
        <w:spacing w:before="0" w:after="120" w:line="264" w:lineRule="auto"/>
      </w:pPr>
      <w:r>
        <w:rPr>
          <w:rFonts w:ascii="Calibri" w:hAnsi="Calibri"/>
          <w:b w:val="0"/>
          <w:i w:val="0"/>
          <w:color w:val="1F2937"/>
          <w:sz w:val="22"/>
        </w:rPr>
        <w:t xml:space="preserve">This project implements an end-to-end data engineering proof of concept for the Olist e-commerce dataset. It ingests CSV source data into PostgreSQL, applies a complete Bronze-Silver-Gold Medallion Architecture, validates warehouse outputs with Great Expectations, exposes analytics through a FastAPI backend, and presents the results in a fully responsive React business intelligence dashboard.</w:t>
      </w:r>
    </w:p>
    <w:p>
      <w:pPr>
        <w:spacing w:before="0" w:after="120" w:line="264" w:lineRule="auto"/>
      </w:pPr>
      <w:r>
        <w:rPr>
          <w:rFonts w:ascii="Calibri" w:hAnsi="Calibri"/>
          <w:b w:val="0"/>
          <w:i w:val="0"/>
          <w:color w:val="1F2937"/>
          <w:sz w:val="22"/>
        </w:rPr>
        <w:t xml:space="preserve">The platform has since matured beyond the original proof of concept. It now delivers a complete Medallion Architecture, a responsive React dashboard, a dedicated Business Intelligence module, a Data Quality Center, Great Expectations validation, a metadata and observability framework, a FastAPI backend, Apache Airflow orchestration, SCD Type 1 and Type 2 customer history, batch control, audit logging, interactive analytics, and executive reporting.</w:t>
      </w:r>
    </w:p>
    <w:p>
      <w:pPr>
        <w:spacing w:before="0" w:after="120" w:line="264" w:lineRule="auto"/>
      </w:pPr>
      <w:r>
        <w:rPr>
          <w:rFonts w:ascii="Calibri" w:hAnsi="Calibri"/>
          <w:b w:val="0"/>
          <w:i w:val="0"/>
          <w:color w:val="1F2937"/>
          <w:sz w:val="22"/>
        </w:rPr>
        <w:t xml:space="preserve">The solution is designed to demonstrate practical warehouse engineering: raw data traceability, standardized Silver datasets, Gold analytics tables, batch metadata, incremental loading, automated validation, Apache Airflow orchestration, and customer Slowly Changing Dimension (SCD) processing, all surfaced through a governed API and an executive-grade dashboard.</w:t>
      </w:r>
    </w:p>
    <w:tbl>
      <w:tblPr>
        <w:tblStyle w:val="TableGrid"/>
        <w:tblW w:type="auto" w:w="0"/>
        <w:tblLayout w:type="fixed"/>
        <w:tblLook w:firstColumn="1" w:firstRow="1" w:lastColumn="0" w:lastRow="0" w:noHBand="0" w:noVBand="1" w:val="04A0"/>
      </w:tblPr>
      <w:tblGrid>
        <w:gridCol w:w="2880"/>
        <w:gridCol w:w="6480"/>
      </w:tblGrid>
      <w:tr>
        <w:trPr>
          <w:tblHeader w:val="true"/>
        </w:trPr>
        <w:tc>
          <w:tcPr>
            <w:tcW w:type="dxa" w:w="2880"/>
            <w:shd w:fill="E8EEF5"/>
            <w:vAlign w:val="center"/>
          </w:tcPr>
          <w:p>
            <w:pPr>
              <w:spacing w:before="0" w:after="0" w:line="264" w:lineRule="auto"/>
            </w:pPr>
            <w:r>
              <w:rPr>
                <w:rFonts w:ascii="Calibri" w:hAnsi="Calibri"/>
                <w:b/>
                <w:i w:val="0"/>
                <w:color w:val="1F4D78"/>
                <w:sz w:val="20"/>
              </w:rPr>
              <w:t xml:space="preserve">Objective</w:t>
            </w:r>
          </w:p>
        </w:tc>
        <w:tc>
          <w:tcPr>
            <w:tcW w:type="dxa" w:w="6480"/>
            <w:shd w:fill="E8EEF5"/>
            <w:vAlign w:val="center"/>
          </w:tcPr>
          <w:p>
            <w:pPr>
              <w:spacing w:before="0" w:after="0" w:line="264" w:lineRule="auto"/>
            </w:pPr>
            <w:r>
              <w:rPr>
                <w:rFonts w:ascii="Calibri" w:hAnsi="Calibri"/>
                <w:b/>
                <w:i w:val="0"/>
                <w:color w:val="1F4D78"/>
                <w:sz w:val="20"/>
              </w:rPr>
              <w:t xml:space="preserve">Delivered capability</w:t>
            </w:r>
          </w:p>
        </w:tc>
      </w:tr>
      <w:tr>
        <w:tc>
          <w:tcPr>
            <w:tcW w:type="dxa" w:w="2880"/>
            <w:vAlign w:val="center"/>
          </w:tcPr>
          <w:p>
            <w:pPr>
              <w:spacing w:before="0" w:after="0" w:line="252" w:lineRule="auto"/>
            </w:pPr>
            <w:r>
              <w:rPr>
                <w:rFonts w:ascii="Calibri" w:hAnsi="Calibri"/>
                <w:b w:val="0"/>
                <w:i w:val="0"/>
                <w:color w:val="1F2937"/>
                <w:sz w:val="19"/>
              </w:rPr>
              <w:t xml:space="preserve">Reliable data pipeline</w:t>
            </w:r>
          </w:p>
        </w:tc>
        <w:tc>
          <w:tcPr>
            <w:tcW w:type="dxa" w:w="6480"/>
            <w:vAlign w:val="center"/>
          </w:tcPr>
          <w:p>
            <w:pPr>
              <w:spacing w:before="0" w:after="0" w:line="252" w:lineRule="auto"/>
            </w:pPr>
            <w:r>
              <w:rPr>
                <w:rFonts w:ascii="Calibri" w:hAnsi="Calibri"/>
                <w:b w:val="0"/>
                <w:i w:val="0"/>
                <w:color w:val="1F2937"/>
                <w:sz w:val="19"/>
              </w:rPr>
              <w:t xml:space="preserve">CSV ingestion, batch status tracking, and Docker-hosted PostgreSQL.</w:t>
            </w:r>
          </w:p>
        </w:tc>
      </w:tr>
      <w:tr>
        <w:tc>
          <w:tcPr>
            <w:tcW w:type="dxa" w:w="2880"/>
            <w:vAlign w:val="center"/>
          </w:tcPr>
          <w:p>
            <w:pPr>
              <w:spacing w:before="0" w:after="0" w:line="252" w:lineRule="auto"/>
            </w:pPr>
            <w:r>
              <w:rPr>
                <w:rFonts w:ascii="Calibri" w:hAnsi="Calibri"/>
                <w:b w:val="0"/>
                <w:i w:val="0"/>
                <w:color w:val="1F2937"/>
                <w:sz w:val="19"/>
              </w:rPr>
              <w:t xml:space="preserve">Analytics-ready warehouse</w:t>
            </w:r>
          </w:p>
        </w:tc>
        <w:tc>
          <w:tcPr>
            <w:tcW w:type="dxa" w:w="6480"/>
            <w:vAlign w:val="center"/>
          </w:tcPr>
          <w:p>
            <w:pPr>
              <w:spacing w:before="0" w:after="0" w:line="252" w:lineRule="auto"/>
            </w:pPr>
            <w:r>
              <w:rPr>
                <w:rFonts w:ascii="Calibri" w:hAnsi="Calibri"/>
                <w:b w:val="0"/>
                <w:i w:val="0"/>
                <w:color w:val="1F2937"/>
                <w:sz w:val="19"/>
              </w:rPr>
              <w:t xml:space="preserve">Gold revenue, product, and seller performance tables.</w:t>
            </w:r>
          </w:p>
        </w:tc>
      </w:tr>
      <w:tr>
        <w:tc>
          <w:tcPr>
            <w:tcW w:type="dxa" w:w="2880"/>
            <w:vAlign w:val="center"/>
          </w:tcPr>
          <w:p>
            <w:pPr>
              <w:spacing w:before="0" w:after="0" w:line="252" w:lineRule="auto"/>
            </w:pPr>
            <w:r>
              <w:rPr>
                <w:rFonts w:ascii="Calibri" w:hAnsi="Calibri"/>
                <w:b w:val="0"/>
                <w:i w:val="0"/>
                <w:color w:val="1F2937"/>
                <w:sz w:val="19"/>
              </w:rPr>
              <w:t xml:space="preserve">Operational governance</w:t>
            </w:r>
          </w:p>
        </w:tc>
        <w:tc>
          <w:tcPr>
            <w:tcW w:type="dxa" w:w="6480"/>
            <w:vAlign w:val="center"/>
          </w:tcPr>
          <w:p>
            <w:pPr>
              <w:spacing w:before="0" w:after="0" w:line="252" w:lineRule="auto"/>
            </w:pPr>
            <w:r>
              <w:rPr>
                <w:rFonts w:ascii="Calibri" w:hAnsi="Calibri"/>
                <w:b w:val="0"/>
                <w:i w:val="0"/>
                <w:color w:val="1F2937"/>
                <w:sz w:val="19"/>
              </w:rPr>
              <w:t xml:space="preserve">Metadata control, validation reporting, incremental customer loading, and SCD history.</w:t>
            </w:r>
          </w:p>
        </w:tc>
      </w:tr>
      <w:tr>
        <w:tc>
          <w:tcPr>
            <w:tcW w:type="dxa" w:w="2880"/>
            <w:vAlign w:val="center"/>
          </w:tcPr>
          <w:p>
            <w:pPr>
              <w:spacing w:before="0" w:after="0" w:line="252" w:lineRule="auto"/>
            </w:pPr>
            <w:r>
              <w:rPr>
                <w:rFonts w:ascii="Calibri" w:hAnsi="Calibri"/>
                <w:b w:val="0"/>
                <w:i w:val="0"/>
                <w:color w:val="1F2937"/>
                <w:sz w:val="19"/>
              </w:rPr>
              <w:t xml:space="preserve">Data quality assurance</w:t>
            </w:r>
          </w:p>
        </w:tc>
        <w:tc>
          <w:tcPr>
            <w:tcW w:type="dxa" w:w="6480"/>
            <w:vAlign w:val="center"/>
          </w:tcPr>
          <w:p>
            <w:pPr>
              <w:spacing w:before="0" w:after="0" w:line="252" w:lineRule="auto"/>
            </w:pPr>
            <w:r>
              <w:rPr>
                <w:rFonts w:ascii="Calibri" w:hAnsi="Calibri"/>
                <w:b w:val="0"/>
                <w:i w:val="0"/>
                <w:color w:val="1F2937"/>
                <w:sz w:val="19"/>
              </w:rPr>
              <w:t xml:space="preserve">Great Expectations validation suites with a quality score, expectation results, and dashboard visualization.</w:t>
            </w:r>
          </w:p>
        </w:tc>
      </w:tr>
      <w:tr>
        <w:tc>
          <w:tcPr>
            <w:tcW w:type="dxa" w:w="2880"/>
            <w:vAlign w:val="center"/>
          </w:tcPr>
          <w:p>
            <w:pPr>
              <w:spacing w:before="0" w:after="0" w:line="252" w:lineRule="auto"/>
            </w:pPr>
            <w:r>
              <w:rPr>
                <w:rFonts w:ascii="Calibri" w:hAnsi="Calibri"/>
                <w:b w:val="0"/>
                <w:i w:val="0"/>
                <w:color w:val="1F2937"/>
                <w:sz w:val="19"/>
              </w:rPr>
              <w:t xml:space="preserve">Observability</w:t>
            </w:r>
          </w:p>
        </w:tc>
        <w:tc>
          <w:tcPr>
            <w:tcW w:type="dxa" w:w="6480"/>
            <w:vAlign w:val="center"/>
          </w:tcPr>
          <w:p>
            <w:pPr>
              <w:spacing w:before="0" w:after="0" w:line="252" w:lineRule="auto"/>
            </w:pPr>
            <w:r>
              <w:rPr>
                <w:rFonts w:ascii="Calibri" w:hAnsi="Calibri"/>
                <w:b w:val="0"/>
                <w:i w:val="0"/>
                <w:color w:val="1F2937"/>
                <w:sz w:val="19"/>
              </w:rPr>
              <w:t xml:space="preserve">Batch control, audit logging, pipeline health, and warehouse monitoring surfaced through dedicated APIs.</w:t>
            </w:r>
          </w:p>
        </w:tc>
      </w:tr>
      <w:tr>
        <w:tc>
          <w:tcPr>
            <w:tcW w:type="dxa" w:w="2880"/>
            <w:vAlign w:val="center"/>
          </w:tcPr>
          <w:p>
            <w:pPr>
              <w:spacing w:before="0" w:after="0" w:line="252" w:lineRule="auto"/>
            </w:pPr>
            <w:r>
              <w:rPr>
                <w:rFonts w:ascii="Calibri" w:hAnsi="Calibri"/>
                <w:b w:val="0"/>
                <w:i w:val="0"/>
                <w:color w:val="1F2937"/>
                <w:sz w:val="19"/>
              </w:rPr>
              <w:t xml:space="preserve">Business consumption</w:t>
            </w:r>
          </w:p>
        </w:tc>
        <w:tc>
          <w:tcPr>
            <w:tcW w:type="dxa" w:w="6480"/>
            <w:vAlign w:val="center"/>
          </w:tcPr>
          <w:p>
            <w:pPr>
              <w:spacing w:before="0" w:after="0" w:line="252" w:lineRule="auto"/>
            </w:pPr>
            <w:r>
              <w:rPr>
                <w:rFonts w:ascii="Calibri" w:hAnsi="Calibri"/>
                <w:b w:val="0"/>
                <w:i w:val="0"/>
                <w:color w:val="1F2937"/>
                <w:sz w:val="19"/>
              </w:rPr>
              <w:t xml:space="preserve">FastAPI endpoints and a responsive, multi-page React business intelligence dashboard.</w:t>
            </w:r>
          </w:p>
        </w:tc>
      </w:tr>
    </w:tbl>
    <w:p>
      <w:pPr>
        <w:spacing w:after="40"/>
      </w:pPr>
    </w:p>
    <w:p>
      <w:pPr>
        <w:pStyle w:val="Heading1"/>
        <w:keepNext/>
        <w:spacing w:before="320" w:after="120" w:line="240" w:lineRule="auto"/>
      </w:pPr>
      <w:r>
        <w:rPr>
          <w:rFonts w:ascii="Calibri" w:hAnsi="Calibri"/>
          <w:b/>
          <w:i w:val="0"/>
          <w:color w:val="2E74B5"/>
          <w:sz w:val="32"/>
        </w:rPr>
        <w:t>2. Project Architecture</w:t>
      </w:r>
    </w:p>
    <w:p>
      <w:pPr>
        <w:spacing w:before="0" w:after="120" w:line="264" w:lineRule="auto"/>
      </w:pPr>
      <w:r>
        <w:rPr>
          <w:rFonts w:ascii="Calibri" w:hAnsi="Calibri"/>
          <w:b w:val="0"/>
          <w:i w:val="0"/>
          <w:color w:val="1F2937"/>
          <w:sz w:val="22"/>
        </w:rPr>
        <w:t xml:space="preserve">The architecture separates ingestion, conformance, analytics, validation, and presentation responsibilities. PostgreSQL stores the warehouse schemas; Docker provides the database runtime; Airflow coordinates the warehouse stages; Great Expectations validates warehouse outputs; FastAPI serves governed API responses; and React consumes those responses for a responsive dashboard.</w:t>
      </w:r>
    </w:p>
    <w:tbl>
      <w:tblPr>
        <w:tblStyle w:val="TableGrid"/>
        <w:tblW w:type="auto" w:w="0"/>
        <w:tblLayout w:type="fixed"/>
        <w:tblLook w:firstColumn="1" w:firstRow="1" w:lastColumn="0" w:lastRow="0" w:noHBand="0" w:noVBand="1" w:val="04A0"/>
      </w:tblPr>
      <w:tblGrid>
        <w:gridCol w:w="1468"/>
        <w:gridCol w:w="115"/>
        <w:gridCol w:w="1468"/>
        <w:gridCol w:w="115"/>
        <w:gridCol w:w="1468"/>
        <w:gridCol w:w="115"/>
        <w:gridCol w:w="1468"/>
        <w:gridCol w:w="115"/>
        <w:gridCol w:w="1468"/>
        <w:gridCol w:w="115"/>
        <w:gridCol w:w="1468"/>
        <w:gridCol w:w="115"/>
        <w:gridCol w:w="1468"/>
      </w:tblGrid>
      <w:tr>
        <w:tc>
          <w:tcPr>
            <w:tcW w:type="dxa" w:w="1468"/>
            <w:shd w:fill="E8EEF5"/>
            <w:vAlign w:val="center"/>
          </w:tcPr>
          <w:p>
            <w:pPr>
              <w:spacing w:before="0" w:after="0" w:line="264" w:lineRule="auto"/>
              <w:jc w:val="center"/>
            </w:pPr>
            <w:r>
              <w:rPr>
                <w:rFonts w:ascii="Calibri" w:hAnsi="Calibri"/>
                <w:b/>
                <w:i w:val="0"/>
                <w:color w:val="1F4D78"/>
                <w:sz w:val="17"/>
              </w:rPr>
              <w:t xml:space="preserve">CSV Files</w:t>
            </w:r>
          </w:p>
        </w:tc>
        <w:tc>
          <w:tcPr>
            <w:tcW w:type="dxa" w:w="115"/>
          </w:tcPr>
          <w:p>
            <w:pPr>
              <w:spacing w:before="0" w:after="0" w:line="264" w:lineRule="auto"/>
              <w:jc w:val="center"/>
            </w:pPr>
            <w:r>
              <w:rPr>
                <w:rFonts w:ascii="Calibri" w:hAnsi="Calibri"/>
                <w:b/>
                <w:i w:val="0"/>
                <w:color w:val="2E74B5"/>
                <w:sz w:val="22"/>
              </w:rPr>
              <w:t>→</w:t>
            </w:r>
          </w:p>
        </w:tc>
        <w:tc>
          <w:tcPr>
            <w:tcW w:type="dxa" w:w="1468"/>
            <w:shd w:fill="E8EEF5"/>
            <w:vAlign w:val="center"/>
          </w:tcPr>
          <w:p>
            <w:pPr>
              <w:spacing w:before="0" w:after="0" w:line="264" w:lineRule="auto"/>
              <w:jc w:val="center"/>
            </w:pPr>
            <w:r>
              <w:rPr>
                <w:rFonts w:ascii="Calibri" w:hAnsi="Calibri"/>
                <w:b/>
                <w:i w:val="0"/>
                <w:color w:val="1F4D78"/>
                <w:sz w:val="17"/>
              </w:rPr>
              <w:t xml:space="preserve">Bronze</w:t>
            </w:r>
          </w:p>
        </w:tc>
        <w:tc>
          <w:tcPr>
            <w:tcW w:type="dxa" w:w="115"/>
          </w:tcPr>
          <w:p>
            <w:pPr>
              <w:spacing w:before="0" w:after="0" w:line="264" w:lineRule="auto"/>
              <w:jc w:val="center"/>
            </w:pPr>
            <w:r>
              <w:rPr>
                <w:rFonts w:ascii="Calibri" w:hAnsi="Calibri"/>
                <w:b/>
                <w:i w:val="0"/>
                <w:color w:val="2E74B5"/>
                <w:sz w:val="22"/>
              </w:rPr>
              <w:t>→</w:t>
            </w:r>
          </w:p>
        </w:tc>
        <w:tc>
          <w:tcPr>
            <w:tcW w:type="dxa" w:w="1468"/>
            <w:shd w:fill="E8EEF5"/>
            <w:vAlign w:val="center"/>
          </w:tcPr>
          <w:p>
            <w:pPr>
              <w:spacing w:before="0" w:after="0" w:line="264" w:lineRule="auto"/>
              <w:jc w:val="center"/>
            </w:pPr>
            <w:r>
              <w:rPr>
                <w:rFonts w:ascii="Calibri" w:hAnsi="Calibri"/>
                <w:b/>
                <w:i w:val="0"/>
                <w:color w:val="1F4D78"/>
                <w:sz w:val="17"/>
              </w:rPr>
              <w:t xml:space="preserve">Silver</w:t>
            </w:r>
          </w:p>
        </w:tc>
        <w:tc>
          <w:tcPr>
            <w:tcW w:type="dxa" w:w="115"/>
          </w:tcPr>
          <w:p>
            <w:pPr>
              <w:spacing w:before="0" w:after="0" w:line="264" w:lineRule="auto"/>
              <w:jc w:val="center"/>
            </w:pPr>
            <w:r>
              <w:rPr>
                <w:rFonts w:ascii="Calibri" w:hAnsi="Calibri"/>
                <w:b/>
                <w:i w:val="0"/>
                <w:color w:val="2E74B5"/>
                <w:sz w:val="22"/>
              </w:rPr>
              <w:t>→</w:t>
            </w:r>
          </w:p>
        </w:tc>
        <w:tc>
          <w:tcPr>
            <w:tcW w:type="dxa" w:w="1468"/>
            <w:shd w:fill="E8EEF5"/>
            <w:vAlign w:val="center"/>
          </w:tcPr>
          <w:p>
            <w:pPr>
              <w:spacing w:before="0" w:after="0" w:line="264" w:lineRule="auto"/>
              <w:jc w:val="center"/>
            </w:pPr>
            <w:r>
              <w:rPr>
                <w:rFonts w:ascii="Calibri" w:hAnsi="Calibri"/>
                <w:b/>
                <w:i w:val="0"/>
                <w:color w:val="1F4D78"/>
                <w:sz w:val="17"/>
              </w:rPr>
              <w:t xml:space="preserve">Gold</w:t>
            </w:r>
          </w:p>
        </w:tc>
        <w:tc>
          <w:tcPr>
            <w:tcW w:type="dxa" w:w="115"/>
          </w:tcPr>
          <w:p>
            <w:pPr>
              <w:spacing w:before="0" w:after="0" w:line="264" w:lineRule="auto"/>
              <w:jc w:val="center"/>
            </w:pPr>
            <w:r>
              <w:rPr>
                <w:rFonts w:ascii="Calibri" w:hAnsi="Calibri"/>
                <w:b/>
                <w:i w:val="0"/>
                <w:color w:val="2E74B5"/>
                <w:sz w:val="22"/>
              </w:rPr>
              <w:t>→</w:t>
            </w:r>
          </w:p>
        </w:tc>
        <w:tc>
          <w:tcPr>
            <w:tcW w:type="dxa" w:w="1468"/>
            <w:shd w:fill="E8EEF5"/>
            <w:vAlign w:val="center"/>
          </w:tcPr>
          <w:p>
            <w:pPr>
              <w:spacing w:before="0" w:after="0" w:line="264" w:lineRule="auto"/>
              <w:jc w:val="center"/>
            </w:pPr>
            <w:r>
              <w:rPr>
                <w:rFonts w:ascii="Calibri" w:hAnsi="Calibri"/>
                <w:b/>
                <w:i w:val="0"/>
                <w:color w:val="1F4D78"/>
                <w:sz w:val="17"/>
              </w:rPr>
              <w:t xml:space="preserve">Validation</w:t>
            </w:r>
          </w:p>
        </w:tc>
        <w:tc>
          <w:tcPr>
            <w:tcW w:type="dxa" w:w="115"/>
          </w:tcPr>
          <w:p>
            <w:pPr>
              <w:spacing w:before="0" w:after="0" w:line="264" w:lineRule="auto"/>
              <w:jc w:val="center"/>
            </w:pPr>
            <w:r>
              <w:rPr>
                <w:rFonts w:ascii="Calibri" w:hAnsi="Calibri"/>
                <w:b/>
                <w:i w:val="0"/>
                <w:color w:val="2E74B5"/>
                <w:sz w:val="22"/>
              </w:rPr>
              <w:t>→</w:t>
            </w:r>
          </w:p>
        </w:tc>
        <w:tc>
          <w:tcPr>
            <w:tcW w:type="dxa" w:w="1468"/>
            <w:shd w:fill="E8EEF5"/>
            <w:vAlign w:val="center"/>
          </w:tcPr>
          <w:p>
            <w:pPr>
              <w:spacing w:before="0" w:after="0" w:line="264" w:lineRule="auto"/>
              <w:jc w:val="center"/>
            </w:pPr>
            <w:r>
              <w:rPr>
                <w:rFonts w:ascii="Calibri" w:hAnsi="Calibri"/>
                <w:b/>
                <w:i w:val="0"/>
                <w:color w:val="1F4D78"/>
                <w:sz w:val="17"/>
              </w:rPr>
              <w:t xml:space="preserve">FastAPI</w:t>
            </w:r>
          </w:p>
        </w:tc>
        <w:tc>
          <w:tcPr>
            <w:tcW w:type="dxa" w:w="115"/>
          </w:tcPr>
          <w:p>
            <w:pPr>
              <w:spacing w:before="0" w:after="0" w:line="264" w:lineRule="auto"/>
              <w:jc w:val="center"/>
            </w:pPr>
            <w:r>
              <w:rPr>
                <w:rFonts w:ascii="Calibri" w:hAnsi="Calibri"/>
                <w:b/>
                <w:i w:val="0"/>
                <w:color w:val="2E74B5"/>
                <w:sz w:val="22"/>
              </w:rPr>
              <w:t>→</w:t>
            </w:r>
          </w:p>
        </w:tc>
        <w:tc>
          <w:tcPr>
            <w:tcW w:type="dxa" w:w="1468"/>
            <w:shd w:fill="E8EEF5"/>
            <w:vAlign w:val="center"/>
          </w:tcPr>
          <w:p>
            <w:pPr>
              <w:spacing w:before="0" w:after="0" w:line="264" w:lineRule="auto"/>
              <w:jc w:val="center"/>
            </w:pPr>
            <w:r>
              <w:rPr>
                <w:rFonts w:ascii="Calibri" w:hAnsi="Calibri"/>
                <w:b/>
                <w:i w:val="0"/>
                <w:color w:val="1F4D78"/>
                <w:sz w:val="17"/>
              </w:rPr>
              <w:t xml:space="preserve">React Dashboard</w:t>
            </w:r>
          </w:p>
        </w:tc>
      </w:tr>
    </w:tbl>
    <w:p>
      <w:pPr>
        <w:spacing w:after="40"/>
      </w:pPr>
    </w:p>
    <w:p>
      <w:r>
        <w:drawing>
          <wp:inline xmlns:a="http://schemas.openxmlformats.org/drawingml/2006/main" xmlns:pic="http://schemas.openxmlformats.org/drawingml/2006/picture">
            <wp:extent cx="5989320" cy="3668458"/>
            <wp:docPr id="1" name="Picture 1"/>
            <wp:cNvGraphicFramePr>
              <a:graphicFrameLocks noChangeAspect="1"/>
            </wp:cNvGraphicFramePr>
            <a:graphic>
              <a:graphicData uri="http://schemas.openxmlformats.org/drawingml/2006/picture">
                <pic:pic>
                  <pic:nvPicPr>
                    <pic:cNvPr id="0" name="end_to_end_architecture.png"/>
                    <pic:cNvPicPr/>
                  </pic:nvPicPr>
                  <pic:blipFill>
                    <a:blip r:embed="rId10"/>
                    <a:stretch>
                      <a:fillRect/>
                    </a:stretch>
                  </pic:blipFill>
                  <pic:spPr>
                    <a:xfrm>
                      <a:off x="0" y="0"/>
                      <a:ext cx="5989320" cy="3668458"/>
                    </a:xfrm>
                    <a:prstGeom prst="rect"/>
                  </pic:spPr>
                </pic:pic>
              </a:graphicData>
            </a:graphic>
          </wp:inline>
        </w:drawing>
      </w:r>
    </w:p>
    <w:p>
      <w:pPr>
        <w:spacing w:before="0" w:after="160" w:line="264" w:lineRule="auto"/>
        <w:jc w:val="center"/>
      </w:pPr>
      <w:r>
        <w:rPr>
          <w:rFonts w:ascii="Calibri" w:hAnsi="Calibri"/>
          <w:b w:val="0"/>
          <w:i/>
          <w:color w:val="6B7280"/>
          <w:sz w:val="18"/>
        </w:rPr>
        <w:t>Figure 1. Supplied end-to-end architecture diagram: ingestion, metadata, orchestration, validation, API, and dashboard flow.</w:t>
      </w:r>
    </w:p>
    <w:tbl>
      <w:tblPr>
        <w:tblStyle w:val="TableGrid"/>
        <w:tblW w:type="auto" w:w="0"/>
        <w:tblLayout w:type="fixed"/>
        <w:tblLook w:firstColumn="1" w:firstRow="1" w:lastColumn="0" w:lastRow="0" w:noHBand="0" w:noVBand="1" w:val="04A0"/>
      </w:tblPr>
      <w:tblGrid>
        <w:gridCol w:w="2880"/>
        <w:gridCol w:w="6480"/>
      </w:tblGrid>
      <w:tr>
        <w:trPr>
          <w:tblHeader w:val="true"/>
        </w:trPr>
        <w:tc>
          <w:tcPr>
            <w:tcW w:type="dxa" w:w="2880"/>
            <w:shd w:fill="E8EEF5"/>
            <w:vAlign w:val="center"/>
          </w:tcPr>
          <w:p>
            <w:pPr>
              <w:spacing w:before="0" w:after="0" w:line="264" w:lineRule="auto"/>
            </w:pPr>
            <w:r>
              <w:rPr>
                <w:rFonts w:ascii="Calibri" w:hAnsi="Calibri"/>
                <w:b/>
                <w:i w:val="0"/>
                <w:color w:val="1F4D78"/>
                <w:sz w:val="20"/>
              </w:rPr>
              <w:t xml:space="preserve">Component</w:t>
            </w:r>
          </w:p>
        </w:tc>
        <w:tc>
          <w:tcPr>
            <w:tcW w:type="dxa" w:w="6480"/>
            <w:shd w:fill="E8EEF5"/>
            <w:vAlign w:val="center"/>
          </w:tcPr>
          <w:p>
            <w:pPr>
              <w:spacing w:before="0" w:after="0" w:line="264" w:lineRule="auto"/>
            </w:pPr>
            <w:r>
              <w:rPr>
                <w:rFonts w:ascii="Calibri" w:hAnsi="Calibri"/>
                <w:b/>
                <w:i w:val="0"/>
                <w:color w:val="1F4D78"/>
                <w:sz w:val="20"/>
              </w:rPr>
              <w:t xml:space="preserve">Role in the solution</w:t>
            </w:r>
          </w:p>
        </w:tc>
      </w:tr>
      <w:tr>
        <w:tc>
          <w:tcPr>
            <w:tcW w:type="dxa" w:w="2880"/>
            <w:vAlign w:val="center"/>
          </w:tcPr>
          <w:p>
            <w:pPr>
              <w:spacing w:before="0" w:after="0" w:line="252" w:lineRule="auto"/>
            </w:pPr>
            <w:r>
              <w:rPr>
                <w:rFonts w:ascii="Calibri" w:hAnsi="Calibri"/>
                <w:b w:val="0"/>
                <w:i w:val="0"/>
                <w:color w:val="1F2937"/>
                <w:sz w:val="19"/>
              </w:rPr>
              <w:t xml:space="preserve">Docker + PostgreSQL</w:t>
            </w:r>
          </w:p>
        </w:tc>
        <w:tc>
          <w:tcPr>
            <w:tcW w:type="dxa" w:w="6480"/>
            <w:vAlign w:val="center"/>
          </w:tcPr>
          <w:p>
            <w:pPr>
              <w:spacing w:before="0" w:after="0" w:line="252" w:lineRule="auto"/>
            </w:pPr>
            <w:r>
              <w:rPr>
                <w:rFonts w:ascii="Calibri" w:hAnsi="Calibri"/>
                <w:b w:val="0"/>
                <w:i w:val="0"/>
                <w:color w:val="1F2937"/>
                <w:sz w:val="19"/>
              </w:rPr>
              <w:t xml:space="preserve">Runs the de_poc database in a reproducible containerized environment.</w:t>
            </w:r>
          </w:p>
        </w:tc>
      </w:tr>
      <w:tr>
        <w:tc>
          <w:tcPr>
            <w:tcW w:type="dxa" w:w="2880"/>
            <w:vAlign w:val="center"/>
          </w:tcPr>
          <w:p>
            <w:pPr>
              <w:spacing w:before="0" w:after="0" w:line="252" w:lineRule="auto"/>
            </w:pPr>
            <w:r>
              <w:rPr>
                <w:rFonts w:ascii="Calibri" w:hAnsi="Calibri"/>
                <w:b w:val="0"/>
                <w:i w:val="0"/>
                <w:color w:val="1F2937"/>
                <w:sz w:val="19"/>
              </w:rPr>
              <w:t xml:space="preserve">Bronze / Silver / Gold</w:t>
            </w:r>
          </w:p>
        </w:tc>
        <w:tc>
          <w:tcPr>
            <w:tcW w:type="dxa" w:w="6480"/>
            <w:vAlign w:val="center"/>
          </w:tcPr>
          <w:p>
            <w:pPr>
              <w:spacing w:before="0" w:after="0" w:line="252" w:lineRule="auto"/>
            </w:pPr>
            <w:r>
              <w:rPr>
                <w:rFonts w:ascii="Calibri" w:hAnsi="Calibri"/>
                <w:b w:val="0"/>
                <w:i w:val="0"/>
                <w:color w:val="1F2937"/>
                <w:sz w:val="19"/>
              </w:rPr>
              <w:t xml:space="preserve">Implements raw capture, conformance, and analytics aggregation layers.</w:t>
            </w:r>
          </w:p>
        </w:tc>
      </w:tr>
      <w:tr>
        <w:tc>
          <w:tcPr>
            <w:tcW w:type="dxa" w:w="2880"/>
            <w:vAlign w:val="center"/>
          </w:tcPr>
          <w:p>
            <w:pPr>
              <w:spacing w:before="0" w:after="0" w:line="252" w:lineRule="auto"/>
            </w:pPr>
            <w:r>
              <w:rPr>
                <w:rFonts w:ascii="Calibri" w:hAnsi="Calibri"/>
                <w:b w:val="0"/>
                <w:i w:val="0"/>
                <w:color w:val="1F2937"/>
                <w:sz w:val="19"/>
              </w:rPr>
              <w:t xml:space="preserve">Apache Airflow</w:t>
            </w:r>
          </w:p>
        </w:tc>
        <w:tc>
          <w:tcPr>
            <w:tcW w:type="dxa" w:w="6480"/>
            <w:vAlign w:val="center"/>
          </w:tcPr>
          <w:p>
            <w:pPr>
              <w:spacing w:before="0" w:after="0" w:line="252" w:lineRule="auto"/>
            </w:pPr>
            <w:r>
              <w:rPr>
                <w:rFonts w:ascii="Calibri" w:hAnsi="Calibri"/>
                <w:b w:val="0"/>
                <w:i w:val="0"/>
                <w:color w:val="1F2937"/>
                <w:sz w:val="19"/>
              </w:rPr>
              <w:t xml:space="preserve">Runs ingestion, Silver transformations, Gold transformations, and validation as a DAG.</w:t>
            </w:r>
          </w:p>
        </w:tc>
      </w:tr>
      <w:tr>
        <w:tc>
          <w:tcPr>
            <w:tcW w:type="dxa" w:w="2880"/>
            <w:vAlign w:val="center"/>
          </w:tcPr>
          <w:p>
            <w:pPr>
              <w:spacing w:before="0" w:after="0" w:line="252" w:lineRule="auto"/>
            </w:pPr>
            <w:r>
              <w:rPr>
                <w:rFonts w:ascii="Calibri" w:hAnsi="Calibri"/>
                <w:b w:val="0"/>
                <w:i w:val="0"/>
                <w:color w:val="1F2937"/>
                <w:sz w:val="19"/>
              </w:rPr>
              <w:t xml:space="preserve">Great Expectations</w:t>
            </w:r>
          </w:p>
        </w:tc>
        <w:tc>
          <w:tcPr>
            <w:tcW w:type="dxa" w:w="6480"/>
            <w:vAlign w:val="center"/>
          </w:tcPr>
          <w:p>
            <w:pPr>
              <w:spacing w:before="0" w:after="0" w:line="252" w:lineRule="auto"/>
            </w:pPr>
            <w:r>
              <w:rPr>
                <w:rFonts w:ascii="Calibri" w:hAnsi="Calibri"/>
                <w:b w:val="0"/>
                <w:i w:val="0"/>
                <w:color w:val="1F2937"/>
                <w:sz w:val="19"/>
              </w:rPr>
              <w:t xml:space="preserve">Executes expectation suites against warehouse tables and persists validation history and quality scores.</w:t>
            </w:r>
          </w:p>
        </w:tc>
      </w:tr>
      <w:tr>
        <w:tc>
          <w:tcPr>
            <w:tcW w:type="dxa" w:w="2880"/>
            <w:vAlign w:val="center"/>
          </w:tcPr>
          <w:p>
            <w:pPr>
              <w:spacing w:before="0" w:after="0" w:line="252" w:lineRule="auto"/>
            </w:pPr>
            <w:r>
              <w:rPr>
                <w:rFonts w:ascii="Calibri" w:hAnsi="Calibri"/>
                <w:b w:val="0"/>
                <w:i w:val="0"/>
                <w:color w:val="1F2937"/>
                <w:sz w:val="19"/>
              </w:rPr>
              <w:t xml:space="preserve">FastAPI</w:t>
            </w:r>
          </w:p>
        </w:tc>
        <w:tc>
          <w:tcPr>
            <w:tcW w:type="dxa" w:w="6480"/>
            <w:vAlign w:val="center"/>
          </w:tcPr>
          <w:p>
            <w:pPr>
              <w:spacing w:before="0" w:after="0" w:line="252" w:lineRule="auto"/>
            </w:pPr>
            <w:r>
              <w:rPr>
                <w:rFonts w:ascii="Calibri" w:hAnsi="Calibri"/>
                <w:b w:val="0"/>
                <w:i w:val="0"/>
                <w:color w:val="1F2937"/>
                <w:sz w:val="19"/>
              </w:rPr>
              <w:t xml:space="preserve">Provides overview, pipeline, quality, medallion, analytics, and SCD endpoints behind a consistent response envelope.</w:t>
            </w:r>
          </w:p>
        </w:tc>
      </w:tr>
      <w:tr>
        <w:tc>
          <w:tcPr>
            <w:tcW w:type="dxa" w:w="2880"/>
            <w:vAlign w:val="center"/>
          </w:tcPr>
          <w:p>
            <w:pPr>
              <w:spacing w:before="0" w:after="0" w:line="252" w:lineRule="auto"/>
            </w:pPr>
            <w:r>
              <w:rPr>
                <w:rFonts w:ascii="Calibri" w:hAnsi="Calibri"/>
                <w:b w:val="0"/>
                <w:i w:val="0"/>
                <w:color w:val="1F2937"/>
                <w:sz w:val="19"/>
              </w:rPr>
              <w:t xml:space="preserve">React</w:t>
            </w:r>
          </w:p>
        </w:tc>
        <w:tc>
          <w:tcPr>
            <w:tcW w:type="dxa" w:w="6480"/>
            <w:vAlign w:val="center"/>
          </w:tcPr>
          <w:p>
            <w:pPr>
              <w:spacing w:before="0" w:after="0" w:line="252" w:lineRule="auto"/>
            </w:pPr>
            <w:r>
              <w:rPr>
                <w:rFonts w:ascii="Calibri" w:hAnsi="Calibri"/>
                <w:b w:val="0"/>
                <w:i w:val="0"/>
                <w:color w:val="1F2937"/>
                <w:sz w:val="19"/>
              </w:rPr>
              <w:t xml:space="preserve">Renders the Executive, Revenue, Customer, Seller, Category, Geographic, Data Quality, Dataset Explorer, and Pipeline Health views.</w:t>
            </w:r>
          </w:p>
        </w:tc>
      </w:tr>
    </w:tbl>
    <w:p>
      <w:pPr>
        <w:spacing w:after="40"/>
      </w:pPr>
    </w:p>
    <w:p>
      <w:pPr>
        <w:pStyle w:val="Heading1"/>
        <w:keepNext/>
        <w:spacing w:before="320" w:after="120" w:line="240" w:lineRule="auto"/>
      </w:pPr>
      <w:r>
        <w:rPr>
          <w:rFonts w:ascii="Calibri" w:hAnsi="Calibri"/>
          <w:b/>
          <w:i w:val="0"/>
          <w:color w:val="2E74B5"/>
          <w:sz w:val="32"/>
        </w:rPr>
        <w:t>3. Technology Stack</w:t>
      </w:r>
    </w:p>
    <w:tbl>
      <w:tblPr>
        <w:tblStyle w:val="TableGrid"/>
        <w:tblW w:type="auto" w:w="0"/>
        <w:tblLayout w:type="fixed"/>
        <w:tblLook w:firstColumn="1" w:firstRow="1" w:lastColumn="0" w:lastRow="0" w:noHBand="0" w:noVBand="1" w:val="04A0"/>
      </w:tblPr>
      <w:tblGrid>
        <w:gridCol w:w="2880"/>
        <w:gridCol w:w="6480"/>
      </w:tblGrid>
      <w:tr>
        <w:trPr>
          <w:tblHeader w:val="true"/>
        </w:trPr>
        <w:tc>
          <w:tcPr>
            <w:tcW w:type="dxa" w:w="2880"/>
            <w:shd w:fill="E8EEF5"/>
            <w:vAlign w:val="center"/>
          </w:tcPr>
          <w:p>
            <w:pPr>
              <w:spacing w:before="0" w:after="0" w:line="264" w:lineRule="auto"/>
            </w:pPr>
            <w:r>
              <w:rPr>
                <w:rFonts w:ascii="Calibri" w:hAnsi="Calibri"/>
                <w:b/>
                <w:i w:val="0"/>
                <w:color w:val="1F4D78"/>
                <w:sz w:val="20"/>
              </w:rPr>
              <w:t xml:space="preserve">Technology</w:t>
            </w:r>
          </w:p>
        </w:tc>
        <w:tc>
          <w:tcPr>
            <w:tcW w:type="dxa" w:w="6480"/>
            <w:shd w:fill="E8EEF5"/>
            <w:vAlign w:val="center"/>
          </w:tcPr>
          <w:p>
            <w:pPr>
              <w:spacing w:before="0" w:after="0" w:line="264" w:lineRule="auto"/>
            </w:pPr>
            <w:r>
              <w:rPr>
                <w:rFonts w:ascii="Calibri" w:hAnsi="Calibri"/>
                <w:b/>
                <w:i w:val="0"/>
                <w:color w:val="1F4D78"/>
                <w:sz w:val="20"/>
              </w:rPr>
              <w:t xml:space="preserve">Purpose</w:t>
            </w:r>
          </w:p>
        </w:tc>
      </w:tr>
      <w:tr>
        <w:tc>
          <w:tcPr>
            <w:tcW w:type="dxa" w:w="2880"/>
            <w:vAlign w:val="center"/>
          </w:tcPr>
          <w:p>
            <w:pPr>
              <w:spacing w:before="0" w:after="0" w:line="252" w:lineRule="auto"/>
            </w:pPr>
            <w:r>
              <w:rPr>
                <w:rFonts w:ascii="Calibri" w:hAnsi="Calibri"/>
                <w:b w:val="0"/>
                <w:i w:val="0"/>
                <w:color w:val="1F2937"/>
                <w:sz w:val="19"/>
              </w:rPr>
              <w:t xml:space="preserve">Python</w:t>
            </w:r>
          </w:p>
        </w:tc>
        <w:tc>
          <w:tcPr>
            <w:tcW w:type="dxa" w:w="6480"/>
            <w:vAlign w:val="center"/>
          </w:tcPr>
          <w:p>
            <w:pPr>
              <w:spacing w:before="0" w:after="0" w:line="252" w:lineRule="auto"/>
            </w:pPr>
            <w:r>
              <w:rPr>
                <w:rFonts w:ascii="Calibri" w:hAnsi="Calibri"/>
                <w:b w:val="0"/>
                <w:i w:val="0"/>
                <w:color w:val="1F2937"/>
                <w:sz w:val="19"/>
              </w:rPr>
              <w:t xml:space="preserve">Pipeline scripts, ingestion utilities, validation, SCD processing, and FastAPI services.</w:t>
            </w:r>
          </w:p>
        </w:tc>
      </w:tr>
      <w:tr>
        <w:tc>
          <w:tcPr>
            <w:tcW w:type="dxa" w:w="2880"/>
            <w:vAlign w:val="center"/>
          </w:tcPr>
          <w:p>
            <w:pPr>
              <w:spacing w:before="0" w:after="0" w:line="252" w:lineRule="auto"/>
            </w:pPr>
            <w:r>
              <w:rPr>
                <w:rFonts w:ascii="Calibri" w:hAnsi="Calibri"/>
                <w:b w:val="0"/>
                <w:i w:val="0"/>
                <w:color w:val="1F2937"/>
                <w:sz w:val="19"/>
              </w:rPr>
              <w:t xml:space="preserve">PostgreSQL</w:t>
            </w:r>
          </w:p>
        </w:tc>
        <w:tc>
          <w:tcPr>
            <w:tcW w:type="dxa" w:w="6480"/>
            <w:vAlign w:val="center"/>
          </w:tcPr>
          <w:p>
            <w:pPr>
              <w:spacing w:before="0" w:after="0" w:line="252" w:lineRule="auto"/>
            </w:pPr>
            <w:r>
              <w:rPr>
                <w:rFonts w:ascii="Calibri" w:hAnsi="Calibri"/>
                <w:b w:val="0"/>
                <w:i w:val="0"/>
                <w:color w:val="1F2937"/>
                <w:sz w:val="19"/>
              </w:rPr>
              <w:t xml:space="preserve">Warehouse database (de_poc) with bronze, silver, gold, and metadata schemas.</w:t>
            </w:r>
          </w:p>
        </w:tc>
      </w:tr>
      <w:tr>
        <w:tc>
          <w:tcPr>
            <w:tcW w:type="dxa" w:w="2880"/>
            <w:vAlign w:val="center"/>
          </w:tcPr>
          <w:p>
            <w:pPr>
              <w:spacing w:before="0" w:after="0" w:line="252" w:lineRule="auto"/>
            </w:pPr>
            <w:r>
              <w:rPr>
                <w:rFonts w:ascii="Calibri" w:hAnsi="Calibri"/>
                <w:b w:val="0"/>
                <w:i w:val="0"/>
                <w:color w:val="1F2937"/>
                <w:sz w:val="19"/>
              </w:rPr>
              <w:t xml:space="preserve">Docker</w:t>
            </w:r>
          </w:p>
        </w:tc>
        <w:tc>
          <w:tcPr>
            <w:tcW w:type="dxa" w:w="6480"/>
            <w:vAlign w:val="center"/>
          </w:tcPr>
          <w:p>
            <w:pPr>
              <w:spacing w:before="0" w:after="0" w:line="252" w:lineRule="auto"/>
            </w:pPr>
            <w:r>
              <w:rPr>
                <w:rFonts w:ascii="Calibri" w:hAnsi="Calibri"/>
                <w:b w:val="0"/>
                <w:i w:val="0"/>
                <w:color w:val="1F2937"/>
                <w:sz w:val="19"/>
              </w:rPr>
              <w:t xml:space="preserve">Reproducible PostgreSQL 16 runtime and persistent postgres_data volume.</w:t>
            </w:r>
          </w:p>
        </w:tc>
      </w:tr>
      <w:tr>
        <w:tc>
          <w:tcPr>
            <w:tcW w:type="dxa" w:w="2880"/>
            <w:vAlign w:val="center"/>
          </w:tcPr>
          <w:p>
            <w:pPr>
              <w:spacing w:before="0" w:after="0" w:line="252" w:lineRule="auto"/>
            </w:pPr>
            <w:r>
              <w:rPr>
                <w:rFonts w:ascii="Calibri" w:hAnsi="Calibri"/>
                <w:b w:val="0"/>
                <w:i w:val="0"/>
                <w:color w:val="1F2937"/>
                <w:sz w:val="19"/>
              </w:rPr>
              <w:t xml:space="preserve">SQLAlchemy</w:t>
            </w:r>
          </w:p>
        </w:tc>
        <w:tc>
          <w:tcPr>
            <w:tcW w:type="dxa" w:w="6480"/>
            <w:vAlign w:val="center"/>
          </w:tcPr>
          <w:p>
            <w:pPr>
              <w:spacing w:before="0" w:after="0" w:line="252" w:lineRule="auto"/>
            </w:pPr>
            <w:r>
              <w:rPr>
                <w:rFonts w:ascii="Calibri" w:hAnsi="Calibri"/>
                <w:b w:val="0"/>
                <w:i w:val="0"/>
                <w:color w:val="1F2937"/>
                <w:sz w:val="19"/>
              </w:rPr>
              <w:t xml:space="preserve">Database engine and transactional batch control during CSV ingestion.</w:t>
            </w:r>
          </w:p>
        </w:tc>
      </w:tr>
      <w:tr>
        <w:tc>
          <w:tcPr>
            <w:tcW w:type="dxa" w:w="2880"/>
            <w:vAlign w:val="center"/>
          </w:tcPr>
          <w:p>
            <w:pPr>
              <w:spacing w:before="0" w:after="0" w:line="252" w:lineRule="auto"/>
            </w:pPr>
            <w:r>
              <w:rPr>
                <w:rFonts w:ascii="Calibri" w:hAnsi="Calibri"/>
                <w:b w:val="0"/>
                <w:i w:val="0"/>
                <w:color w:val="1F2937"/>
                <w:sz w:val="19"/>
              </w:rPr>
              <w:t xml:space="preserve">Pandas</w:t>
            </w:r>
          </w:p>
        </w:tc>
        <w:tc>
          <w:tcPr>
            <w:tcW w:type="dxa" w:w="6480"/>
            <w:vAlign w:val="center"/>
          </w:tcPr>
          <w:p>
            <w:pPr>
              <w:spacing w:before="0" w:after="0" w:line="252" w:lineRule="auto"/>
            </w:pPr>
            <w:r>
              <w:rPr>
                <w:rFonts w:ascii="Calibri" w:hAnsi="Calibri"/>
                <w:b w:val="0"/>
                <w:i w:val="0"/>
                <w:color w:val="1F2937"/>
                <w:sz w:val="19"/>
              </w:rPr>
              <w:t xml:space="preserve">Reads source CSV files and loads raw Bronze tables.</w:t>
            </w:r>
          </w:p>
        </w:tc>
      </w:tr>
      <w:tr>
        <w:tc>
          <w:tcPr>
            <w:tcW w:type="dxa" w:w="2880"/>
            <w:vAlign w:val="center"/>
          </w:tcPr>
          <w:p>
            <w:pPr>
              <w:spacing w:before="0" w:after="0" w:line="252" w:lineRule="auto"/>
            </w:pPr>
            <w:r>
              <w:rPr>
                <w:rFonts w:ascii="Calibri" w:hAnsi="Calibri"/>
                <w:b w:val="0"/>
                <w:i w:val="0"/>
                <w:color w:val="1F2937"/>
                <w:sz w:val="19"/>
              </w:rPr>
              <w:t xml:space="preserve">Great Expectations</w:t>
            </w:r>
          </w:p>
        </w:tc>
        <w:tc>
          <w:tcPr>
            <w:tcW w:type="dxa" w:w="6480"/>
            <w:vAlign w:val="center"/>
          </w:tcPr>
          <w:p>
            <w:pPr>
              <w:spacing w:before="0" w:after="0" w:line="252" w:lineRule="auto"/>
            </w:pPr>
            <w:r>
              <w:rPr>
                <w:rFonts w:ascii="Calibri" w:hAnsi="Calibri"/>
                <w:b w:val="0"/>
                <w:i w:val="0"/>
                <w:color w:val="1F2937"/>
                <w:sz w:val="19"/>
              </w:rPr>
              <w:t xml:space="preserve">Declarative validation suites for null, uniqueness, referential integrity, volume, and positive-value checks, with persisted quality scoring.</w:t>
            </w:r>
          </w:p>
        </w:tc>
      </w:tr>
      <w:tr>
        <w:tc>
          <w:tcPr>
            <w:tcW w:type="dxa" w:w="2880"/>
            <w:vAlign w:val="center"/>
          </w:tcPr>
          <w:p>
            <w:pPr>
              <w:spacing w:before="0" w:after="0" w:line="252" w:lineRule="auto"/>
            </w:pPr>
            <w:r>
              <w:rPr>
                <w:rFonts w:ascii="Calibri" w:hAnsi="Calibri"/>
                <w:b w:val="0"/>
                <w:i w:val="0"/>
                <w:color w:val="1F2937"/>
                <w:sz w:val="19"/>
              </w:rPr>
              <w:t xml:space="preserve">FastAPI</w:t>
            </w:r>
          </w:p>
        </w:tc>
        <w:tc>
          <w:tcPr>
            <w:tcW w:type="dxa" w:w="6480"/>
            <w:vAlign w:val="center"/>
          </w:tcPr>
          <w:p>
            <w:pPr>
              <w:spacing w:before="0" w:after="0" w:line="252" w:lineRule="auto"/>
            </w:pPr>
            <w:r>
              <w:rPr>
                <w:rFonts w:ascii="Calibri" w:hAnsi="Calibri"/>
                <w:b w:val="0"/>
                <w:i w:val="0"/>
                <w:color w:val="1F2937"/>
                <w:sz w:val="19"/>
              </w:rPr>
              <w:t xml:space="preserve">REST API layer with a consistent data/meta response envelope.</w:t>
            </w:r>
          </w:p>
        </w:tc>
      </w:tr>
      <w:tr>
        <w:tc>
          <w:tcPr>
            <w:tcW w:type="dxa" w:w="2880"/>
            <w:vAlign w:val="center"/>
          </w:tcPr>
          <w:p>
            <w:pPr>
              <w:spacing w:before="0" w:after="0" w:line="252" w:lineRule="auto"/>
            </w:pPr>
            <w:r>
              <w:rPr>
                <w:rFonts w:ascii="Calibri" w:hAnsi="Calibri"/>
                <w:b w:val="0"/>
                <w:i w:val="0"/>
                <w:color w:val="1F2937"/>
                <w:sz w:val="19"/>
              </w:rPr>
              <w:t xml:space="preserve">React + TypeScript</w:t>
            </w:r>
          </w:p>
        </w:tc>
        <w:tc>
          <w:tcPr>
            <w:tcW w:type="dxa" w:w="6480"/>
            <w:vAlign w:val="center"/>
          </w:tcPr>
          <w:p>
            <w:pPr>
              <w:spacing w:before="0" w:after="0" w:line="252" w:lineRule="auto"/>
            </w:pPr>
            <w:r>
              <w:rPr>
                <w:rFonts w:ascii="Calibri" w:hAnsi="Calibri"/>
                <w:b w:val="0"/>
                <w:i w:val="0"/>
                <w:color w:val="1F2937"/>
                <w:sz w:val="19"/>
              </w:rPr>
              <w:t xml:space="preserve">Type-safe dashboard frontend rendering the Business Intelligence and observability views.</w:t>
            </w:r>
          </w:p>
        </w:tc>
      </w:tr>
      <w:tr>
        <w:tc>
          <w:tcPr>
            <w:tcW w:type="dxa" w:w="2880"/>
            <w:vAlign w:val="center"/>
          </w:tcPr>
          <w:p>
            <w:pPr>
              <w:spacing w:before="0" w:after="0" w:line="252" w:lineRule="auto"/>
            </w:pPr>
            <w:r>
              <w:rPr>
                <w:rFonts w:ascii="Calibri" w:hAnsi="Calibri"/>
                <w:b w:val="0"/>
                <w:i w:val="0"/>
                <w:color w:val="1F2937"/>
                <w:sz w:val="19"/>
              </w:rPr>
              <w:t xml:space="preserve">React Query</w:t>
            </w:r>
          </w:p>
        </w:tc>
        <w:tc>
          <w:tcPr>
            <w:tcW w:type="dxa" w:w="6480"/>
            <w:vAlign w:val="center"/>
          </w:tcPr>
          <w:p>
            <w:pPr>
              <w:spacing w:before="0" w:after="0" w:line="252" w:lineRule="auto"/>
            </w:pPr>
            <w:r>
              <w:rPr>
                <w:rFonts w:ascii="Calibri" w:hAnsi="Calibri"/>
                <w:b w:val="0"/>
                <w:i w:val="0"/>
                <w:color w:val="1F2937"/>
                <w:sz w:val="19"/>
              </w:rPr>
              <w:t xml:space="preserve">Client-side data fetching, caching, and loading/error state management for every dashboard page.</w:t>
            </w:r>
          </w:p>
        </w:tc>
      </w:tr>
      <w:tr>
        <w:tc>
          <w:tcPr>
            <w:tcW w:type="dxa" w:w="2880"/>
            <w:vAlign w:val="center"/>
          </w:tcPr>
          <w:p>
            <w:pPr>
              <w:spacing w:before="0" w:after="0" w:line="252" w:lineRule="auto"/>
            </w:pPr>
            <w:r>
              <w:rPr>
                <w:rFonts w:ascii="Calibri" w:hAnsi="Calibri"/>
                <w:b w:val="0"/>
                <w:i w:val="0"/>
                <w:color w:val="1F2937"/>
                <w:sz w:val="19"/>
              </w:rPr>
              <w:t xml:space="preserve">Recharts</w:t>
            </w:r>
          </w:p>
        </w:tc>
        <w:tc>
          <w:tcPr>
            <w:tcW w:type="dxa" w:w="6480"/>
            <w:vAlign w:val="center"/>
          </w:tcPr>
          <w:p>
            <w:pPr>
              <w:spacing w:before="0" w:after="0" w:line="252" w:lineRule="auto"/>
            </w:pPr>
            <w:r>
              <w:rPr>
                <w:rFonts w:ascii="Calibri" w:hAnsi="Calibri"/>
                <w:b w:val="0"/>
                <w:i w:val="0"/>
                <w:color w:val="1F2937"/>
                <w:sz w:val="19"/>
              </w:rPr>
              <w:t xml:space="preserve">Revenue trends, category rankings, funnels, and treemap visualizations.</w:t>
            </w:r>
          </w:p>
        </w:tc>
      </w:tr>
      <w:tr>
        <w:tc>
          <w:tcPr>
            <w:tcW w:type="dxa" w:w="2880"/>
            <w:vAlign w:val="center"/>
          </w:tcPr>
          <w:p>
            <w:pPr>
              <w:spacing w:before="0" w:after="0" w:line="252" w:lineRule="auto"/>
            </w:pPr>
            <w:r>
              <w:rPr>
                <w:rFonts w:ascii="Calibri" w:hAnsi="Calibri"/>
                <w:b w:val="0"/>
                <w:i w:val="0"/>
                <w:color w:val="1F2937"/>
                <w:sz w:val="19"/>
              </w:rPr>
              <w:t xml:space="preserve">Tailwind CSS</w:t>
            </w:r>
          </w:p>
        </w:tc>
        <w:tc>
          <w:tcPr>
            <w:tcW w:type="dxa" w:w="6480"/>
            <w:vAlign w:val="center"/>
          </w:tcPr>
          <w:p>
            <w:pPr>
              <w:spacing w:before="0" w:after="0" w:line="252" w:lineRule="auto"/>
            </w:pPr>
            <w:r>
              <w:rPr>
                <w:rFonts w:ascii="Calibri" w:hAnsi="Calibri"/>
                <w:b w:val="0"/>
                <w:i w:val="0"/>
                <w:color w:val="1F2937"/>
                <w:sz w:val="19"/>
              </w:rPr>
              <w:t xml:space="preserve">Utility-first styling for the responsive, adaptive dashboard layout.</w:t>
            </w:r>
          </w:p>
        </w:tc>
      </w:tr>
      <w:tr>
        <w:tc>
          <w:tcPr>
            <w:tcW w:type="dxa" w:w="2880"/>
            <w:vAlign w:val="center"/>
          </w:tcPr>
          <w:p>
            <w:pPr>
              <w:spacing w:before="0" w:after="0" w:line="252" w:lineRule="auto"/>
            </w:pPr>
            <w:r>
              <w:rPr>
                <w:rFonts w:ascii="Calibri" w:hAnsi="Calibri"/>
                <w:b w:val="0"/>
                <w:i w:val="0"/>
                <w:color w:val="1F2937"/>
                <w:sz w:val="19"/>
              </w:rPr>
              <w:t xml:space="preserve">Vite</w:t>
            </w:r>
          </w:p>
        </w:tc>
        <w:tc>
          <w:tcPr>
            <w:tcW w:type="dxa" w:w="6480"/>
            <w:vAlign w:val="center"/>
          </w:tcPr>
          <w:p>
            <w:pPr>
              <w:spacing w:before="0" w:after="0" w:line="252" w:lineRule="auto"/>
            </w:pPr>
            <w:r>
              <w:rPr>
                <w:rFonts w:ascii="Calibri" w:hAnsi="Calibri"/>
                <w:b w:val="0"/>
                <w:i w:val="0"/>
                <w:color w:val="1F2937"/>
                <w:sz w:val="19"/>
              </w:rPr>
              <w:t xml:space="preserve">Frontend build tool and development server for the React application.</w:t>
            </w:r>
          </w:p>
        </w:tc>
      </w:tr>
      <w:tr>
        <w:tc>
          <w:tcPr>
            <w:tcW w:type="dxa" w:w="2880"/>
            <w:vAlign w:val="center"/>
          </w:tcPr>
          <w:p>
            <w:pPr>
              <w:spacing w:before="0" w:after="0" w:line="252" w:lineRule="auto"/>
            </w:pPr>
            <w:r>
              <w:rPr>
                <w:rFonts w:ascii="Calibri" w:hAnsi="Calibri"/>
                <w:b w:val="0"/>
                <w:i w:val="0"/>
                <w:color w:val="1F2937"/>
                <w:sz w:val="19"/>
              </w:rPr>
              <w:t xml:space="preserve">Apache Airflow</w:t>
            </w:r>
          </w:p>
        </w:tc>
        <w:tc>
          <w:tcPr>
            <w:tcW w:type="dxa" w:w="6480"/>
            <w:vAlign w:val="center"/>
          </w:tcPr>
          <w:p>
            <w:pPr>
              <w:spacing w:before="0" w:after="0" w:line="252" w:lineRule="auto"/>
            </w:pPr>
            <w:r>
              <w:rPr>
                <w:rFonts w:ascii="Calibri" w:hAnsi="Calibri"/>
                <w:b w:val="0"/>
                <w:i w:val="0"/>
                <w:color w:val="1F2937"/>
                <w:sz w:val="19"/>
              </w:rPr>
              <w:t xml:space="preserve">Orchestrates the warehouse_pipeline DAG.</w:t>
            </w:r>
          </w:p>
        </w:tc>
      </w:tr>
    </w:tbl>
    <w:p>
      <w:pPr>
        <w:spacing w:after="40"/>
      </w:pPr>
    </w:p>
    <w:p>
      <w:pPr>
        <w:pStyle w:val="Heading1"/>
        <w:keepNext/>
        <w:spacing w:before="320" w:after="120" w:line="240" w:lineRule="auto"/>
      </w:pPr>
      <w:r>
        <w:rPr>
          <w:rFonts w:ascii="Calibri" w:hAnsi="Calibri"/>
          <w:b/>
          <w:i w:val="0"/>
          <w:color w:val="2E74B5"/>
          <w:sz w:val="32"/>
        </w:rPr>
        <w:t>4. Multiple Dataset Ingestion</w:t>
      </w:r>
    </w:p>
    <w:p>
      <w:pPr>
        <w:spacing w:before="0" w:after="120" w:line="264" w:lineRule="auto"/>
      </w:pPr>
      <w:r>
        <w:rPr>
          <w:rFonts w:ascii="Calibri" w:hAnsi="Calibri"/>
          <w:b w:val="0"/>
          <w:i w:val="0"/>
          <w:color w:val="1F2937"/>
          <w:sz w:val="22"/>
        </w:rPr>
        <w:t xml:space="preserve">The Olist e-commerce dataset represents marketplace activity across customers, orders, products, sellers, payments, reviews, and geolocation. Each source dataset is ingested independently through its own ingestion process, while lineage across datasets is preserved through shared batch and source metadata.</w:t>
      </w:r>
    </w:p>
    <w:p>
      <w:pPr>
        <w:spacing w:before="0" w:after="120" w:line="264" w:lineRule="auto"/>
      </w:pPr>
      <w:r>
        <w:rPr>
          <w:rFonts w:ascii="Calibri" w:hAnsi="Calibri"/>
          <w:b w:val="0"/>
          <w:i w:val="0"/>
          <w:color w:val="1F2937"/>
          <w:sz w:val="22"/>
        </w:rPr>
        <w:t xml:space="preserve">The following datasets are ingested independently: customers, orders, order_items, payments, products, sellers, reviews, geolocation, and category_translation. Each ingestion process reads its own CSV extract, creates a metadata.batch_control record, and appends rows to its corresponding Bronze table without depending on the completion of any other dataset's ingestion, while batch_id and source_system values tie every dataset back to a common lineage trail.</w:t>
      </w:r>
    </w:p>
    <w:tbl>
      <w:tblPr>
        <w:tblStyle w:val="TableGrid"/>
        <w:tblW w:type="auto" w:w="0"/>
        <w:tblLayout w:type="fixed"/>
        <w:tblLook w:firstColumn="1" w:firstRow="1" w:lastColumn="0" w:lastRow="0" w:noHBand="0" w:noVBand="1" w:val="04A0"/>
      </w:tblPr>
      <w:tblGrid>
        <w:gridCol w:w="2880"/>
        <w:gridCol w:w="6480"/>
      </w:tblGrid>
      <w:tr>
        <w:trPr>
          <w:tblHeader w:val="true"/>
        </w:trPr>
        <w:tc>
          <w:tcPr>
            <w:tcW w:type="dxa" w:w="2880"/>
            <w:shd w:fill="E8EEF5"/>
            <w:vAlign w:val="center"/>
          </w:tcPr>
          <w:p>
            <w:pPr>
              <w:spacing w:before="0" w:after="0" w:line="264" w:lineRule="auto"/>
            </w:pPr>
            <w:r>
              <w:rPr>
                <w:rFonts w:ascii="Calibri" w:hAnsi="Calibri"/>
                <w:b/>
                <w:i w:val="0"/>
                <w:color w:val="1F4D78"/>
                <w:sz w:val="20"/>
              </w:rPr>
              <w:t xml:space="preserve">Source file / entity</w:t>
            </w:r>
          </w:p>
        </w:tc>
        <w:tc>
          <w:tcPr>
            <w:tcW w:type="dxa" w:w="6480"/>
            <w:shd w:fill="E8EEF5"/>
            <w:vAlign w:val="center"/>
          </w:tcPr>
          <w:p>
            <w:pPr>
              <w:spacing w:before="0" w:after="0" w:line="264" w:lineRule="auto"/>
            </w:pPr>
            <w:r>
              <w:rPr>
                <w:rFonts w:ascii="Calibri" w:hAnsi="Calibri"/>
                <w:b/>
                <w:i w:val="0"/>
                <w:color w:val="1F4D78"/>
                <w:sz w:val="20"/>
              </w:rPr>
              <w:t xml:space="preserve">Warehouse use</w:t>
            </w:r>
          </w:p>
        </w:tc>
      </w:tr>
      <w:tr>
        <w:tc>
          <w:tcPr>
            <w:tcW w:type="dxa" w:w="2880"/>
            <w:vAlign w:val="center"/>
          </w:tcPr>
          <w:p>
            <w:pPr>
              <w:spacing w:before="0" w:after="0" w:line="252" w:lineRule="auto"/>
            </w:pPr>
            <w:r>
              <w:rPr>
                <w:rFonts w:ascii="Calibri" w:hAnsi="Calibri"/>
                <w:b w:val="0"/>
                <w:i w:val="0"/>
                <w:color w:val="1F2937"/>
                <w:sz w:val="19"/>
              </w:rPr>
              <w:t xml:space="preserve">customers</w:t>
            </w:r>
          </w:p>
        </w:tc>
        <w:tc>
          <w:tcPr>
            <w:tcW w:type="dxa" w:w="6480"/>
            <w:vAlign w:val="center"/>
          </w:tcPr>
          <w:p>
            <w:pPr>
              <w:spacing w:before="0" w:after="0" w:line="252" w:lineRule="auto"/>
            </w:pPr>
            <w:r>
              <w:rPr>
                <w:rFonts w:ascii="Calibri" w:hAnsi="Calibri"/>
                <w:b w:val="0"/>
                <w:i w:val="0"/>
                <w:color w:val="1F2937"/>
                <w:sz w:val="19"/>
              </w:rPr>
              <w:t xml:space="preserve">Customer identity and city/state attributes; source for customer SCD processing.</w:t>
            </w:r>
          </w:p>
        </w:tc>
      </w:tr>
      <w:tr>
        <w:tc>
          <w:tcPr>
            <w:tcW w:type="dxa" w:w="2880"/>
            <w:vAlign w:val="center"/>
          </w:tcPr>
          <w:p>
            <w:pPr>
              <w:spacing w:before="0" w:after="0" w:line="252" w:lineRule="auto"/>
            </w:pPr>
            <w:r>
              <w:rPr>
                <w:rFonts w:ascii="Calibri" w:hAnsi="Calibri"/>
                <w:b w:val="0"/>
                <w:i w:val="0"/>
                <w:color w:val="1F2937"/>
                <w:sz w:val="19"/>
              </w:rPr>
              <w:t xml:space="preserve">orders</w:t>
            </w:r>
          </w:p>
        </w:tc>
        <w:tc>
          <w:tcPr>
            <w:tcW w:type="dxa" w:w="6480"/>
            <w:vAlign w:val="center"/>
          </w:tcPr>
          <w:p>
            <w:pPr>
              <w:spacing w:before="0" w:after="0" w:line="252" w:lineRule="auto"/>
            </w:pPr>
            <w:r>
              <w:rPr>
                <w:rFonts w:ascii="Calibri" w:hAnsi="Calibri"/>
                <w:b w:val="0"/>
                <w:i w:val="0"/>
                <w:color w:val="1F2937"/>
                <w:sz w:val="19"/>
              </w:rPr>
              <w:t xml:space="preserve">Order lifecycle timestamps, status, and customer relationship.</w:t>
            </w:r>
          </w:p>
        </w:tc>
      </w:tr>
      <w:tr>
        <w:tc>
          <w:tcPr>
            <w:tcW w:type="dxa" w:w="2880"/>
            <w:vAlign w:val="center"/>
          </w:tcPr>
          <w:p>
            <w:pPr>
              <w:spacing w:before="0" w:after="0" w:line="252" w:lineRule="auto"/>
            </w:pPr>
            <w:r>
              <w:rPr>
                <w:rFonts w:ascii="Calibri" w:hAnsi="Calibri"/>
                <w:b w:val="0"/>
                <w:i w:val="0"/>
                <w:color w:val="1F2937"/>
                <w:sz w:val="19"/>
              </w:rPr>
              <w:t xml:space="preserve">order_items</w:t>
            </w:r>
          </w:p>
        </w:tc>
        <w:tc>
          <w:tcPr>
            <w:tcW w:type="dxa" w:w="6480"/>
            <w:vAlign w:val="center"/>
          </w:tcPr>
          <w:p>
            <w:pPr>
              <w:spacing w:before="0" w:after="0" w:line="252" w:lineRule="auto"/>
            </w:pPr>
            <w:r>
              <w:rPr>
                <w:rFonts w:ascii="Calibri" w:hAnsi="Calibri"/>
                <w:b w:val="0"/>
                <w:i w:val="0"/>
                <w:color w:val="1F2937"/>
                <w:sz w:val="19"/>
              </w:rPr>
              <w:t xml:space="preserve">Item-level price, freight, product, and seller records.</w:t>
            </w:r>
          </w:p>
        </w:tc>
      </w:tr>
      <w:tr>
        <w:tc>
          <w:tcPr>
            <w:tcW w:type="dxa" w:w="2880"/>
            <w:vAlign w:val="center"/>
          </w:tcPr>
          <w:p>
            <w:pPr>
              <w:spacing w:before="0" w:after="0" w:line="252" w:lineRule="auto"/>
            </w:pPr>
            <w:r>
              <w:rPr>
                <w:rFonts w:ascii="Calibri" w:hAnsi="Calibri"/>
                <w:b w:val="0"/>
                <w:i w:val="0"/>
                <w:color w:val="1F2937"/>
                <w:sz w:val="19"/>
              </w:rPr>
              <w:t xml:space="preserve">payments</w:t>
            </w:r>
          </w:p>
        </w:tc>
        <w:tc>
          <w:tcPr>
            <w:tcW w:type="dxa" w:w="6480"/>
            <w:vAlign w:val="center"/>
          </w:tcPr>
          <w:p>
            <w:pPr>
              <w:spacing w:before="0" w:after="0" w:line="252" w:lineRule="auto"/>
            </w:pPr>
            <w:r>
              <w:rPr>
                <w:rFonts w:ascii="Calibri" w:hAnsi="Calibri"/>
                <w:b w:val="0"/>
                <w:i w:val="0"/>
                <w:color w:val="1F2937"/>
                <w:sz w:val="19"/>
              </w:rPr>
              <w:t xml:space="preserve">Payment type, installment, and payment value.</w:t>
            </w:r>
          </w:p>
        </w:tc>
      </w:tr>
      <w:tr>
        <w:tc>
          <w:tcPr>
            <w:tcW w:type="dxa" w:w="2880"/>
            <w:vAlign w:val="center"/>
          </w:tcPr>
          <w:p>
            <w:pPr>
              <w:spacing w:before="0" w:after="0" w:line="252" w:lineRule="auto"/>
            </w:pPr>
            <w:r>
              <w:rPr>
                <w:rFonts w:ascii="Calibri" w:hAnsi="Calibri"/>
                <w:b w:val="0"/>
                <w:i w:val="0"/>
                <w:color w:val="1F2937"/>
                <w:sz w:val="19"/>
              </w:rPr>
              <w:t xml:space="preserve">products</w:t>
            </w:r>
          </w:p>
        </w:tc>
        <w:tc>
          <w:tcPr>
            <w:tcW w:type="dxa" w:w="6480"/>
            <w:vAlign w:val="center"/>
          </w:tcPr>
          <w:p>
            <w:pPr>
              <w:spacing w:before="0" w:after="0" w:line="252" w:lineRule="auto"/>
            </w:pPr>
            <w:r>
              <w:rPr>
                <w:rFonts w:ascii="Calibri" w:hAnsi="Calibri"/>
                <w:b w:val="0"/>
                <w:i w:val="0"/>
                <w:color w:val="1F2937"/>
                <w:sz w:val="19"/>
              </w:rPr>
              <w:t xml:space="preserve">Product catalog and category attributes.</w:t>
            </w:r>
          </w:p>
        </w:tc>
      </w:tr>
      <w:tr>
        <w:tc>
          <w:tcPr>
            <w:tcW w:type="dxa" w:w="2880"/>
            <w:vAlign w:val="center"/>
          </w:tcPr>
          <w:p>
            <w:pPr>
              <w:spacing w:before="0" w:after="0" w:line="252" w:lineRule="auto"/>
            </w:pPr>
            <w:r>
              <w:rPr>
                <w:rFonts w:ascii="Calibri" w:hAnsi="Calibri"/>
                <w:b w:val="0"/>
                <w:i w:val="0"/>
                <w:color w:val="1F2937"/>
                <w:sz w:val="19"/>
              </w:rPr>
              <w:t xml:space="preserve">sellers</w:t>
            </w:r>
          </w:p>
        </w:tc>
        <w:tc>
          <w:tcPr>
            <w:tcW w:type="dxa" w:w="6480"/>
            <w:vAlign w:val="center"/>
          </w:tcPr>
          <w:p>
            <w:pPr>
              <w:spacing w:before="0" w:after="0" w:line="252" w:lineRule="auto"/>
            </w:pPr>
            <w:r>
              <w:rPr>
                <w:rFonts w:ascii="Calibri" w:hAnsi="Calibri"/>
                <w:b w:val="0"/>
                <w:i w:val="0"/>
                <w:color w:val="1F2937"/>
                <w:sz w:val="19"/>
              </w:rPr>
              <w:t xml:space="preserve">Seller identity and location data.</w:t>
            </w:r>
          </w:p>
        </w:tc>
      </w:tr>
      <w:tr>
        <w:tc>
          <w:tcPr>
            <w:tcW w:type="dxa" w:w="2880"/>
            <w:vAlign w:val="center"/>
          </w:tcPr>
          <w:p>
            <w:pPr>
              <w:spacing w:before="0" w:after="0" w:line="252" w:lineRule="auto"/>
            </w:pPr>
            <w:r>
              <w:rPr>
                <w:rFonts w:ascii="Calibri" w:hAnsi="Calibri"/>
                <w:b w:val="0"/>
                <w:i w:val="0"/>
                <w:color w:val="1F2937"/>
                <w:sz w:val="19"/>
              </w:rPr>
              <w:t xml:space="preserve">reviews</w:t>
            </w:r>
          </w:p>
        </w:tc>
        <w:tc>
          <w:tcPr>
            <w:tcW w:type="dxa" w:w="6480"/>
            <w:vAlign w:val="center"/>
          </w:tcPr>
          <w:p>
            <w:pPr>
              <w:spacing w:before="0" w:after="0" w:line="252" w:lineRule="auto"/>
            </w:pPr>
            <w:r>
              <w:rPr>
                <w:rFonts w:ascii="Calibri" w:hAnsi="Calibri"/>
                <w:b w:val="0"/>
                <w:i w:val="0"/>
                <w:color w:val="1F2937"/>
                <w:sz w:val="19"/>
              </w:rPr>
              <w:t xml:space="preserve">Customer review score and comments for future experience analysis.</w:t>
            </w:r>
          </w:p>
        </w:tc>
      </w:tr>
      <w:tr>
        <w:tc>
          <w:tcPr>
            <w:tcW w:type="dxa" w:w="2880"/>
            <w:vAlign w:val="center"/>
          </w:tcPr>
          <w:p>
            <w:pPr>
              <w:spacing w:before="0" w:after="0" w:line="252" w:lineRule="auto"/>
            </w:pPr>
            <w:r>
              <w:rPr>
                <w:rFonts w:ascii="Calibri" w:hAnsi="Calibri"/>
                <w:b w:val="0"/>
                <w:i w:val="0"/>
                <w:color w:val="1F2937"/>
                <w:sz w:val="19"/>
              </w:rPr>
              <w:t xml:space="preserve">geolocation</w:t>
            </w:r>
          </w:p>
        </w:tc>
        <w:tc>
          <w:tcPr>
            <w:tcW w:type="dxa" w:w="6480"/>
            <w:vAlign w:val="center"/>
          </w:tcPr>
          <w:p>
            <w:pPr>
              <w:spacing w:before="0" w:after="0" w:line="252" w:lineRule="auto"/>
            </w:pPr>
            <w:r>
              <w:rPr>
                <w:rFonts w:ascii="Calibri" w:hAnsi="Calibri"/>
                <w:b w:val="0"/>
                <w:i w:val="0"/>
                <w:color w:val="1F2937"/>
                <w:sz w:val="19"/>
              </w:rPr>
              <w:t xml:space="preserve">State, city, latitude, longitude, and postal-prefix reference data.</w:t>
            </w:r>
          </w:p>
        </w:tc>
      </w:tr>
      <w:tr>
        <w:tc>
          <w:tcPr>
            <w:tcW w:type="dxa" w:w="2880"/>
            <w:vAlign w:val="center"/>
          </w:tcPr>
          <w:p>
            <w:pPr>
              <w:spacing w:before="0" w:after="0" w:line="252" w:lineRule="auto"/>
            </w:pPr>
            <w:r>
              <w:rPr>
                <w:rFonts w:ascii="Calibri" w:hAnsi="Calibri"/>
                <w:b w:val="0"/>
                <w:i w:val="0"/>
                <w:color w:val="1F2937"/>
                <w:sz w:val="19"/>
              </w:rPr>
              <w:t xml:space="preserve">category_translation</w:t>
            </w:r>
          </w:p>
        </w:tc>
        <w:tc>
          <w:tcPr>
            <w:tcW w:type="dxa" w:w="6480"/>
            <w:vAlign w:val="center"/>
          </w:tcPr>
          <w:p>
            <w:pPr>
              <w:spacing w:before="0" w:after="0" w:line="252" w:lineRule="auto"/>
            </w:pPr>
            <w:r>
              <w:rPr>
                <w:rFonts w:ascii="Calibri" w:hAnsi="Calibri"/>
                <w:b w:val="0"/>
                <w:i w:val="0"/>
                <w:color w:val="1F2937"/>
                <w:sz w:val="19"/>
              </w:rPr>
              <w:t xml:space="preserve">Maps Portuguese product category names to English for reporting.</w:t>
            </w:r>
          </w:p>
        </w:tc>
      </w:tr>
    </w:tbl>
    <w:p>
      <w:pPr>
        <w:spacing w:after="40"/>
      </w:pPr>
    </w:p>
    <w:p>
      <w:pPr>
        <w:pStyle w:val="Heading1"/>
        <w:keepNext/>
        <w:spacing w:before="320" w:after="120" w:line="240" w:lineRule="auto"/>
      </w:pPr>
      <w:r>
        <w:rPr>
          <w:rFonts w:ascii="Calibri" w:hAnsi="Calibri"/>
          <w:b/>
          <w:i w:val="0"/>
          <w:color w:val="2E74B5"/>
          <w:sz w:val="32"/>
        </w:rPr>
        <w:t>5. Medallion Architecture</w:t>
      </w:r>
    </w:p>
    <w:p>
      <w:pPr>
        <w:pStyle w:val="Heading2"/>
        <w:keepNext/>
        <w:spacing w:before="200" w:after="120" w:line="240" w:lineRule="auto"/>
      </w:pPr>
      <w:r>
        <w:rPr>
          <w:rFonts w:ascii="Calibri" w:hAnsi="Calibri"/>
          <w:b/>
          <w:i w:val="0"/>
          <w:color w:val="2E74B5"/>
          <w:sz w:val="26"/>
        </w:rPr>
        <w:t>Bronze Layer</w:t>
      </w:r>
    </w:p>
    <w:p>
      <w:pPr>
        <w:spacing w:before="0" w:after="120" w:line="264" w:lineRule="auto"/>
      </w:pPr>
      <w:r>
        <w:rPr>
          <w:rFonts w:ascii="Calibri" w:hAnsi="Calibri"/>
          <w:b w:val="0"/>
          <w:i w:val="0"/>
          <w:color w:val="1F2937"/>
          <w:sz w:val="22"/>
        </w:rPr>
        <w:t xml:space="preserve">Bronze preserves raw ingested records, including batch_id, source_system, and load timestamps. Representative tables include bronze.customers_raw, bronze.orders_raw, bronze.order_items_raw, bronze.payments_raw, bronze.products_raw, bronze.sellers_raw, bronze.reviews_raw, bronze.geolocation_raw, and bronze.category_translation_raw.</w:t>
      </w:r>
    </w:p>
    <w:p>
      <w:pPr>
        <w:pStyle w:val="Heading2"/>
        <w:keepNext/>
        <w:spacing w:before="200" w:after="120" w:line="240" w:lineRule="auto"/>
      </w:pPr>
      <w:r>
        <w:rPr>
          <w:rFonts w:ascii="Calibri" w:hAnsi="Calibri"/>
          <w:b/>
          <w:i w:val="0"/>
          <w:color w:val="2E74B5"/>
          <w:sz w:val="26"/>
        </w:rPr>
        <w:t>Silver Layer</w:t>
      </w:r>
    </w:p>
    <w:p>
      <w:pPr>
        <w:spacing w:before="0" w:after="120" w:line="264" w:lineRule="auto"/>
      </w:pPr>
      <w:r>
        <w:rPr>
          <w:rFonts w:ascii="Calibri" w:hAnsi="Calibri"/>
          <w:b w:val="0"/>
          <w:i w:val="0"/>
          <w:color w:val="1F2937"/>
          <w:sz w:val="22"/>
        </w:rPr>
        <w:t xml:space="preserve">Silver standardizes and cleans operational data. Core tables are silver.customers, silver.orders, silver.products, silver.sellers, silver.payments, and silver.order_fact. Customer city and state are normalized to uppercase, and order_fact joins order headers with item records. silver.customers_scd adds Type 1 and Type 2 customer history support.</w:t>
      </w:r>
    </w:p>
    <w:p>
      <w:pPr>
        <w:pStyle w:val="Heading2"/>
        <w:keepNext/>
        <w:spacing w:before="200" w:after="120" w:line="240" w:lineRule="auto"/>
      </w:pPr>
      <w:r>
        <w:rPr>
          <w:rFonts w:ascii="Calibri" w:hAnsi="Calibri"/>
          <w:b/>
          <w:i w:val="0"/>
          <w:color w:val="2E74B5"/>
          <w:sz w:val="26"/>
        </w:rPr>
        <w:t>Gold Layer</w:t>
      </w:r>
    </w:p>
    <w:p>
      <w:pPr>
        <w:spacing w:before="0" w:after="120" w:line="264" w:lineRule="auto"/>
      </w:pPr>
      <w:r>
        <w:rPr>
          <w:rFonts w:ascii="Calibri" w:hAnsi="Calibri"/>
          <w:b w:val="0"/>
          <w:i w:val="0"/>
          <w:color w:val="1F2937"/>
          <w:sz w:val="22"/>
        </w:rPr>
        <w:t xml:space="preserve">Gold exposes business-ready aggregations: gold.sales_summary, gold.product_performance, and gold.seller_performance. These tables support revenue trends, category rankings, and seller leaderboards in the dashboard, and feed directly into the Great Expectations validation suites.</w:t>
      </w:r>
    </w:p>
    <w:tbl>
      <w:tblPr>
        <w:tblStyle w:val="TableGrid"/>
        <w:tblW w:type="auto" w:w="0"/>
        <w:tblLayout w:type="fixed"/>
        <w:tblLook w:firstColumn="1" w:firstRow="1" w:lastColumn="0" w:lastRow="0" w:noHBand="0" w:noVBand="1" w:val="04A0"/>
      </w:tblPr>
      <w:tblGrid>
        <w:gridCol w:w="1468"/>
        <w:gridCol w:w="115"/>
        <w:gridCol w:w="1468"/>
        <w:gridCol w:w="115"/>
        <w:gridCol w:w="1468"/>
        <w:gridCol w:w="115"/>
        <w:gridCol w:w="1468"/>
      </w:tblGrid>
      <w:tr>
        <w:tc>
          <w:tcPr>
            <w:tcW w:type="dxa" w:w="1468"/>
            <w:shd w:fill="E8EEF5"/>
            <w:vAlign w:val="center"/>
          </w:tcPr>
          <w:p>
            <w:pPr>
              <w:spacing w:before="0" w:after="0" w:line="264" w:lineRule="auto"/>
              <w:jc w:val="center"/>
            </w:pPr>
            <w:r>
              <w:rPr>
                <w:rFonts w:ascii="Calibri" w:hAnsi="Calibri"/>
                <w:b/>
                <w:i w:val="0"/>
                <w:color w:val="1F4D78"/>
                <w:sz w:val="17"/>
              </w:rPr>
              <w:t xml:space="preserve">Raw CSV</w:t>
            </w:r>
          </w:p>
        </w:tc>
        <w:tc>
          <w:tcPr>
            <w:tcW w:type="dxa" w:w="115"/>
          </w:tcPr>
          <w:p>
            <w:pPr>
              <w:spacing w:before="0" w:after="0" w:line="264" w:lineRule="auto"/>
              <w:jc w:val="center"/>
            </w:pPr>
            <w:r>
              <w:rPr>
                <w:rFonts w:ascii="Calibri" w:hAnsi="Calibri"/>
                <w:b/>
                <w:i w:val="0"/>
                <w:color w:val="2E74B5"/>
                <w:sz w:val="22"/>
              </w:rPr>
              <w:t>→</w:t>
            </w:r>
          </w:p>
        </w:tc>
        <w:tc>
          <w:tcPr>
            <w:tcW w:type="dxa" w:w="1468"/>
            <w:shd w:fill="E8EEF5"/>
            <w:vAlign w:val="center"/>
          </w:tcPr>
          <w:p>
            <w:pPr>
              <w:spacing w:before="0" w:after="0" w:line="264" w:lineRule="auto"/>
              <w:jc w:val="center"/>
            </w:pPr>
            <w:r>
              <w:rPr>
                <w:rFonts w:ascii="Calibri" w:hAnsi="Calibri"/>
                <w:b/>
                <w:i w:val="0"/>
                <w:color w:val="1F4D78"/>
                <w:sz w:val="17"/>
              </w:rPr>
              <w:t xml:space="preserve">bronze.*_raw</w:t>
            </w:r>
          </w:p>
        </w:tc>
        <w:tc>
          <w:tcPr>
            <w:tcW w:type="dxa" w:w="115"/>
          </w:tcPr>
          <w:p>
            <w:pPr>
              <w:spacing w:before="0" w:after="0" w:line="264" w:lineRule="auto"/>
              <w:jc w:val="center"/>
            </w:pPr>
            <w:r>
              <w:rPr>
                <w:rFonts w:ascii="Calibri" w:hAnsi="Calibri"/>
                <w:b/>
                <w:i w:val="0"/>
                <w:color w:val="2E74B5"/>
                <w:sz w:val="22"/>
              </w:rPr>
              <w:t>→</w:t>
            </w:r>
          </w:p>
        </w:tc>
        <w:tc>
          <w:tcPr>
            <w:tcW w:type="dxa" w:w="1468"/>
            <w:shd w:fill="E8EEF5"/>
            <w:vAlign w:val="center"/>
          </w:tcPr>
          <w:p>
            <w:pPr>
              <w:spacing w:before="0" w:after="0" w:line="264" w:lineRule="auto"/>
              <w:jc w:val="center"/>
            </w:pPr>
            <w:r>
              <w:rPr>
                <w:rFonts w:ascii="Calibri" w:hAnsi="Calibri"/>
                <w:b/>
                <w:i w:val="0"/>
                <w:color w:val="1F4D78"/>
                <w:sz w:val="17"/>
              </w:rPr>
              <w:t xml:space="preserve">silver.*</w:t>
            </w:r>
          </w:p>
        </w:tc>
        <w:tc>
          <w:tcPr>
            <w:tcW w:type="dxa" w:w="115"/>
          </w:tcPr>
          <w:p>
            <w:pPr>
              <w:spacing w:before="0" w:after="0" w:line="264" w:lineRule="auto"/>
              <w:jc w:val="center"/>
            </w:pPr>
            <w:r>
              <w:rPr>
                <w:rFonts w:ascii="Calibri" w:hAnsi="Calibri"/>
                <w:b/>
                <w:i w:val="0"/>
                <w:color w:val="2E74B5"/>
                <w:sz w:val="22"/>
              </w:rPr>
              <w:t>→</w:t>
            </w:r>
          </w:p>
        </w:tc>
        <w:tc>
          <w:tcPr>
            <w:tcW w:type="dxa" w:w="1468"/>
            <w:shd w:fill="E8EEF5"/>
            <w:vAlign w:val="center"/>
          </w:tcPr>
          <w:p>
            <w:pPr>
              <w:spacing w:before="0" w:after="0" w:line="264" w:lineRule="auto"/>
              <w:jc w:val="center"/>
            </w:pPr>
            <w:r>
              <w:rPr>
                <w:rFonts w:ascii="Calibri" w:hAnsi="Calibri"/>
                <w:b/>
                <w:i w:val="0"/>
                <w:color w:val="1F4D78"/>
                <w:sz w:val="17"/>
              </w:rPr>
              <w:t xml:space="preserve">gold.*</w:t>
            </w:r>
          </w:p>
        </w:tc>
      </w:tr>
    </w:tbl>
    <w:p>
      <w:pPr>
        <w:spacing w:after="40"/>
      </w:pPr>
    </w:p>
    <w:p>
      <w:r>
        <w:drawing>
          <wp:inline xmlns:a="http://schemas.openxmlformats.org/drawingml/2006/main" xmlns:pic="http://schemas.openxmlformats.org/drawingml/2006/picture">
            <wp:extent cx="5989320" cy="3893058"/>
            <wp:docPr id="2" name="Picture 2"/>
            <wp:cNvGraphicFramePr>
              <a:graphicFrameLocks noChangeAspect="1"/>
            </wp:cNvGraphicFramePr>
            <a:graphic>
              <a:graphicData uri="http://schemas.openxmlformats.org/drawingml/2006/picture">
                <pic:pic>
                  <pic:nvPicPr>
                    <pic:cNvPr id="0" name="warehouse_lineage.png"/>
                    <pic:cNvPicPr/>
                  </pic:nvPicPr>
                  <pic:blipFill>
                    <a:blip r:embed="rId11"/>
                    <a:stretch>
                      <a:fillRect/>
                    </a:stretch>
                  </pic:blipFill>
                  <pic:spPr>
                    <a:xfrm>
                      <a:off x="0" y="0"/>
                      <a:ext cx="5989320" cy="3893058"/>
                    </a:xfrm>
                    <a:prstGeom prst="rect"/>
                  </pic:spPr>
                </pic:pic>
              </a:graphicData>
            </a:graphic>
          </wp:inline>
        </w:drawing>
      </w:r>
    </w:p>
    <w:p>
      <w:pPr>
        <w:spacing w:before="0" w:after="160" w:line="264" w:lineRule="auto"/>
        <w:jc w:val="center"/>
      </w:pPr>
      <w:r>
        <w:rPr>
          <w:rFonts w:ascii="Calibri" w:hAnsi="Calibri"/>
          <w:b w:val="0"/>
          <w:i/>
          <w:color w:val="6B7280"/>
          <w:sz w:val="18"/>
        </w:rPr>
        <w:t>Figure 2. Supplied warehouse lineage diagram: Olist source files through Bronze, Silver, Gold, FastAPI, and the React dashboard.</w:t>
      </w:r>
    </w:p>
    <w:p>
      <w:pPr>
        <w:pStyle w:val="Heading1"/>
        <w:keepNext/>
        <w:spacing w:before="320" w:after="120" w:line="240" w:lineRule="auto"/>
      </w:pPr>
      <w:r>
        <w:rPr>
          <w:rFonts w:ascii="Calibri" w:hAnsi="Calibri"/>
          <w:b/>
          <w:i w:val="0"/>
          <w:color w:val="2E74B5"/>
          <w:sz w:val="32"/>
        </w:rPr>
        <w:t>6. ETL Pipeline</w:t>
      </w:r>
    </w:p>
    <w:p>
      <w:pPr>
        <w:spacing w:before="0" w:after="120" w:line="264" w:lineRule="auto"/>
      </w:pPr>
      <w:r>
        <w:rPr>
          <w:rFonts w:ascii="Calibri" w:hAnsi="Calibri"/>
          <w:b w:val="0"/>
          <w:i w:val="0"/>
          <w:color w:val="1F2937"/>
          <w:sz w:val="22"/>
        </w:rPr>
        <w:t xml:space="preserve">The pipeline follows CSV -&gt; Python ingestion -&gt; Bronze -&gt; Silver -&gt; Gold -&gt; Validation -&gt; API -&gt; Dashboard. Ingestion scripts create a metadata.batch_control record, read CSV data through Pandas, enrich it with batch_id, source_system, and load timestamps, append it to the Bronze schema, and update the batch status when complete.</w:t>
      </w:r>
    </w:p>
    <w:tbl>
      <w:tblPr>
        <w:tblStyle w:val="TableGrid"/>
        <w:tblW w:type="auto" w:w="0"/>
        <w:tblLayout w:type="fixed"/>
        <w:tblLook w:firstColumn="1" w:firstRow="1" w:lastColumn="0" w:lastRow="0" w:noHBand="0" w:noVBand="1" w:val="04A0"/>
      </w:tblPr>
      <w:tblGrid>
        <w:gridCol w:w="1468"/>
        <w:gridCol w:w="115"/>
        <w:gridCol w:w="1468"/>
        <w:gridCol w:w="115"/>
        <w:gridCol w:w="1468"/>
        <w:gridCol w:w="115"/>
        <w:gridCol w:w="1468"/>
        <w:gridCol w:w="115"/>
        <w:gridCol w:w="1468"/>
        <w:gridCol w:w="115"/>
        <w:gridCol w:w="1468"/>
        <w:gridCol w:w="115"/>
        <w:gridCol w:w="1468"/>
        <w:gridCol w:w="115"/>
        <w:gridCol w:w="1468"/>
      </w:tblGrid>
      <w:tr>
        <w:tc>
          <w:tcPr>
            <w:tcW w:type="dxa" w:w="1468"/>
            <w:shd w:fill="E8EEF5"/>
            <w:vAlign w:val="center"/>
          </w:tcPr>
          <w:p>
            <w:pPr>
              <w:spacing w:before="0" w:after="0" w:line="264" w:lineRule="auto"/>
              <w:jc w:val="center"/>
            </w:pPr>
            <w:r>
              <w:rPr>
                <w:rFonts w:ascii="Calibri" w:hAnsi="Calibri"/>
                <w:b/>
                <w:i w:val="0"/>
                <w:color w:val="1F4D78"/>
                <w:sz w:val="17"/>
              </w:rPr>
              <w:t xml:space="preserve">CSV</w:t>
            </w:r>
          </w:p>
        </w:tc>
        <w:tc>
          <w:tcPr>
            <w:tcW w:type="dxa" w:w="115"/>
          </w:tcPr>
          <w:p>
            <w:pPr>
              <w:spacing w:before="0" w:after="0" w:line="264" w:lineRule="auto"/>
              <w:jc w:val="center"/>
            </w:pPr>
            <w:r>
              <w:rPr>
                <w:rFonts w:ascii="Calibri" w:hAnsi="Calibri"/>
                <w:b/>
                <w:i w:val="0"/>
                <w:color w:val="2E74B5"/>
                <w:sz w:val="22"/>
              </w:rPr>
              <w:t>→</w:t>
            </w:r>
          </w:p>
        </w:tc>
        <w:tc>
          <w:tcPr>
            <w:tcW w:type="dxa" w:w="1468"/>
            <w:shd w:fill="E8EEF5"/>
            <w:vAlign w:val="center"/>
          </w:tcPr>
          <w:p>
            <w:pPr>
              <w:spacing w:before="0" w:after="0" w:line="264" w:lineRule="auto"/>
              <w:jc w:val="center"/>
            </w:pPr>
            <w:r>
              <w:rPr>
                <w:rFonts w:ascii="Calibri" w:hAnsi="Calibri"/>
                <w:b/>
                <w:i w:val="0"/>
                <w:color w:val="1F4D78"/>
                <w:sz w:val="17"/>
              </w:rPr>
              <w:t xml:space="preserve">Ingestion</w:t>
            </w:r>
          </w:p>
        </w:tc>
        <w:tc>
          <w:tcPr>
            <w:tcW w:type="dxa" w:w="115"/>
          </w:tcPr>
          <w:p>
            <w:pPr>
              <w:spacing w:before="0" w:after="0" w:line="264" w:lineRule="auto"/>
              <w:jc w:val="center"/>
            </w:pPr>
            <w:r>
              <w:rPr>
                <w:rFonts w:ascii="Calibri" w:hAnsi="Calibri"/>
                <w:b/>
                <w:i w:val="0"/>
                <w:color w:val="2E74B5"/>
                <w:sz w:val="22"/>
              </w:rPr>
              <w:t>→</w:t>
            </w:r>
          </w:p>
        </w:tc>
        <w:tc>
          <w:tcPr>
            <w:tcW w:type="dxa" w:w="1468"/>
            <w:shd w:fill="E8EEF5"/>
            <w:vAlign w:val="center"/>
          </w:tcPr>
          <w:p>
            <w:pPr>
              <w:spacing w:before="0" w:after="0" w:line="264" w:lineRule="auto"/>
              <w:jc w:val="center"/>
            </w:pPr>
            <w:r>
              <w:rPr>
                <w:rFonts w:ascii="Calibri" w:hAnsi="Calibri"/>
                <w:b/>
                <w:i w:val="0"/>
                <w:color w:val="1F4D78"/>
                <w:sz w:val="17"/>
              </w:rPr>
              <w:t xml:space="preserve">Bronze</w:t>
            </w:r>
          </w:p>
        </w:tc>
        <w:tc>
          <w:tcPr>
            <w:tcW w:type="dxa" w:w="115"/>
          </w:tcPr>
          <w:p>
            <w:pPr>
              <w:spacing w:before="0" w:after="0" w:line="264" w:lineRule="auto"/>
              <w:jc w:val="center"/>
            </w:pPr>
            <w:r>
              <w:rPr>
                <w:rFonts w:ascii="Calibri" w:hAnsi="Calibri"/>
                <w:b/>
                <w:i w:val="0"/>
                <w:color w:val="2E74B5"/>
                <w:sz w:val="22"/>
              </w:rPr>
              <w:t>→</w:t>
            </w:r>
          </w:p>
        </w:tc>
        <w:tc>
          <w:tcPr>
            <w:tcW w:type="dxa" w:w="1468"/>
            <w:shd w:fill="E8EEF5"/>
            <w:vAlign w:val="center"/>
          </w:tcPr>
          <w:p>
            <w:pPr>
              <w:spacing w:before="0" w:after="0" w:line="264" w:lineRule="auto"/>
              <w:jc w:val="center"/>
            </w:pPr>
            <w:r>
              <w:rPr>
                <w:rFonts w:ascii="Calibri" w:hAnsi="Calibri"/>
                <w:b/>
                <w:i w:val="0"/>
                <w:color w:val="1F4D78"/>
                <w:sz w:val="17"/>
              </w:rPr>
              <w:t xml:space="preserve">Silver</w:t>
            </w:r>
          </w:p>
        </w:tc>
        <w:tc>
          <w:tcPr>
            <w:tcW w:type="dxa" w:w="115"/>
          </w:tcPr>
          <w:p>
            <w:pPr>
              <w:spacing w:before="0" w:after="0" w:line="264" w:lineRule="auto"/>
              <w:jc w:val="center"/>
            </w:pPr>
            <w:r>
              <w:rPr>
                <w:rFonts w:ascii="Calibri" w:hAnsi="Calibri"/>
                <w:b/>
                <w:i w:val="0"/>
                <w:color w:val="2E74B5"/>
                <w:sz w:val="22"/>
              </w:rPr>
              <w:t>→</w:t>
            </w:r>
          </w:p>
        </w:tc>
        <w:tc>
          <w:tcPr>
            <w:tcW w:type="dxa" w:w="1468"/>
            <w:shd w:fill="E8EEF5"/>
            <w:vAlign w:val="center"/>
          </w:tcPr>
          <w:p>
            <w:pPr>
              <w:spacing w:before="0" w:after="0" w:line="264" w:lineRule="auto"/>
              <w:jc w:val="center"/>
            </w:pPr>
            <w:r>
              <w:rPr>
                <w:rFonts w:ascii="Calibri" w:hAnsi="Calibri"/>
                <w:b/>
                <w:i w:val="0"/>
                <w:color w:val="1F4D78"/>
                <w:sz w:val="17"/>
              </w:rPr>
              <w:t xml:space="preserve">Gold</w:t>
            </w:r>
          </w:p>
        </w:tc>
        <w:tc>
          <w:tcPr>
            <w:tcW w:type="dxa" w:w="115"/>
          </w:tcPr>
          <w:p>
            <w:pPr>
              <w:spacing w:before="0" w:after="0" w:line="264" w:lineRule="auto"/>
              <w:jc w:val="center"/>
            </w:pPr>
            <w:r>
              <w:rPr>
                <w:rFonts w:ascii="Calibri" w:hAnsi="Calibri"/>
                <w:b/>
                <w:i w:val="0"/>
                <w:color w:val="2E74B5"/>
                <w:sz w:val="22"/>
              </w:rPr>
              <w:t>→</w:t>
            </w:r>
          </w:p>
        </w:tc>
        <w:tc>
          <w:tcPr>
            <w:tcW w:type="dxa" w:w="1468"/>
            <w:shd w:fill="E8EEF5"/>
            <w:vAlign w:val="center"/>
          </w:tcPr>
          <w:p>
            <w:pPr>
              <w:spacing w:before="0" w:after="0" w:line="264" w:lineRule="auto"/>
              <w:jc w:val="center"/>
            </w:pPr>
            <w:r>
              <w:rPr>
                <w:rFonts w:ascii="Calibri" w:hAnsi="Calibri"/>
                <w:b/>
                <w:i w:val="0"/>
                <w:color w:val="1F4D78"/>
                <w:sz w:val="17"/>
              </w:rPr>
              <w:t xml:space="preserve">Validation</w:t>
            </w:r>
          </w:p>
        </w:tc>
        <w:tc>
          <w:tcPr>
            <w:tcW w:type="dxa" w:w="115"/>
          </w:tcPr>
          <w:p>
            <w:pPr>
              <w:spacing w:before="0" w:after="0" w:line="264" w:lineRule="auto"/>
              <w:jc w:val="center"/>
            </w:pPr>
            <w:r>
              <w:rPr>
                <w:rFonts w:ascii="Calibri" w:hAnsi="Calibri"/>
                <w:b/>
                <w:i w:val="0"/>
                <w:color w:val="2E74B5"/>
                <w:sz w:val="22"/>
              </w:rPr>
              <w:t>→</w:t>
            </w:r>
          </w:p>
        </w:tc>
        <w:tc>
          <w:tcPr>
            <w:tcW w:type="dxa" w:w="1468"/>
            <w:shd w:fill="E8EEF5"/>
            <w:vAlign w:val="center"/>
          </w:tcPr>
          <w:p>
            <w:pPr>
              <w:spacing w:before="0" w:after="0" w:line="264" w:lineRule="auto"/>
              <w:jc w:val="center"/>
            </w:pPr>
            <w:r>
              <w:rPr>
                <w:rFonts w:ascii="Calibri" w:hAnsi="Calibri"/>
                <w:b/>
                <w:i w:val="0"/>
                <w:color w:val="1F4D78"/>
                <w:sz w:val="17"/>
              </w:rPr>
              <w:t xml:space="preserve">API</w:t>
            </w:r>
          </w:p>
        </w:tc>
        <w:tc>
          <w:tcPr>
            <w:tcW w:type="dxa" w:w="115"/>
          </w:tcPr>
          <w:p>
            <w:pPr>
              <w:spacing w:before="0" w:after="0" w:line="264" w:lineRule="auto"/>
              <w:jc w:val="center"/>
            </w:pPr>
            <w:r>
              <w:rPr>
                <w:rFonts w:ascii="Calibri" w:hAnsi="Calibri"/>
                <w:b/>
                <w:i w:val="0"/>
                <w:color w:val="2E74B5"/>
                <w:sz w:val="22"/>
              </w:rPr>
              <w:t>→</w:t>
            </w:r>
          </w:p>
        </w:tc>
        <w:tc>
          <w:tcPr>
            <w:tcW w:type="dxa" w:w="1468"/>
            <w:shd w:fill="E8EEF5"/>
            <w:vAlign w:val="center"/>
          </w:tcPr>
          <w:p>
            <w:pPr>
              <w:spacing w:before="0" w:after="0" w:line="264" w:lineRule="auto"/>
              <w:jc w:val="center"/>
            </w:pPr>
            <w:r>
              <w:rPr>
                <w:rFonts w:ascii="Calibri" w:hAnsi="Calibri"/>
                <w:b/>
                <w:i w:val="0"/>
                <w:color w:val="1F4D78"/>
                <w:sz w:val="17"/>
              </w:rPr>
              <w:t xml:space="preserve">Dashboard</w:t>
            </w:r>
          </w:p>
        </w:tc>
      </w:tr>
    </w:tbl>
    <w:p>
      <w:pPr>
        <w:spacing w:after="40"/>
      </w:pPr>
    </w:p>
    <w:p>
      <w:pPr>
        <w:spacing w:before="0" w:after="120" w:line="264" w:lineRule="auto"/>
      </w:pPr>
      <w:r>
        <w:rPr>
          <w:rFonts w:ascii="Calibri" w:hAnsi="Calibri"/>
          <w:b w:val="0"/>
          <w:i w:val="0"/>
          <w:color w:val="1F2937"/>
          <w:sz w:val="22"/>
        </w:rPr>
        <w:t xml:space="preserve">Every stage of the pipeline writes to a shared metadata surface so that lineage, freshness, and outcomes can be reconstructed for any batch:</w:t>
      </w:r>
    </w:p>
    <w:p>
      <w:pPr>
        <w:pStyle w:val="ListBullet"/>
        <w:spacing w:before="0" w:after="60" w:line="264" w:lineRule="auto"/>
      </w:pPr>
      <w:r>
        <w:rPr>
          <w:rFonts w:ascii="Calibri" w:hAnsi="Calibri"/>
          <w:b w:val="0"/>
          <w:i w:val="0"/>
          <w:color w:val="1F2937"/>
          <w:sz w:val="22"/>
        </w:rPr>
        <w:t xml:space="preserve">batch_id and source_system tag every Bronze, Silver, and Gold record back to its originating load.</w:t>
      </w:r>
    </w:p>
    <w:p>
      <w:pPr>
        <w:pStyle w:val="ListBullet"/>
        <w:spacing w:before="0" w:after="60" w:line="264" w:lineRule="auto"/>
      </w:pPr>
      <w:r>
        <w:rPr>
          <w:rFonts w:ascii="Calibri" w:hAnsi="Calibri"/>
          <w:b w:val="0"/>
          <w:i w:val="0"/>
          <w:color w:val="1F2937"/>
          <w:sz w:val="22"/>
        </w:rPr>
        <w:t xml:space="preserve">Load timestamps record when each row entered the warehouse.</w:t>
      </w:r>
    </w:p>
    <w:p>
      <w:pPr>
        <w:pStyle w:val="ListBullet"/>
        <w:spacing w:before="0" w:after="60" w:line="264" w:lineRule="auto"/>
      </w:pPr>
      <w:r>
        <w:rPr>
          <w:rFonts w:ascii="Calibri" w:hAnsi="Calibri"/>
          <w:b w:val="0"/>
          <w:i w:val="0"/>
          <w:color w:val="1F2937"/>
          <w:sz w:val="22"/>
        </w:rPr>
        <w:t xml:space="preserve">metadata.batch_control persists pipeline_name, status, timing, records processed, and records rejected.</w:t>
      </w:r>
    </w:p>
    <w:p>
      <w:pPr>
        <w:pStyle w:val="ListBullet"/>
        <w:spacing w:before="0" w:after="60" w:line="264" w:lineRule="auto"/>
      </w:pPr>
      <w:r>
        <w:rPr>
          <w:rFonts w:ascii="Calibri" w:hAnsi="Calibri"/>
          <w:b w:val="0"/>
          <w:i w:val="0"/>
          <w:color w:val="1F2937"/>
          <w:sz w:val="22"/>
        </w:rPr>
        <w:t xml:space="preserve">metadata.load_tracker records the last processed batch per dataset to support incremental loading.</w:t>
      </w:r>
    </w:p>
    <w:p>
      <w:pPr>
        <w:pStyle w:val="ListBullet"/>
        <w:spacing w:before="0" w:after="60" w:line="264" w:lineRule="auto"/>
      </w:pPr>
      <w:r>
        <w:rPr>
          <w:rFonts w:ascii="Calibri" w:hAnsi="Calibri"/>
          <w:b w:val="0"/>
          <w:i w:val="0"/>
          <w:color w:val="1F2937"/>
          <w:sz w:val="22"/>
        </w:rPr>
        <w:t xml:space="preserve">Observability metadata and audit information are exposed through the pipeline and quality APIs and rendered on the Pipeline Health and Data Quality Center dashboard pages.</w:t>
      </w:r>
    </w:p>
    <w:tbl>
      <w:tblPr>
        <w:tblStyle w:val="TableGrid"/>
        <w:tblW w:type="auto" w:w="0"/>
        <w:tblLayout w:type="fixed"/>
        <w:tblLook w:firstColumn="1" w:firstRow="1" w:lastColumn="0" w:lastRow="0" w:noHBand="0" w:noVBand="1" w:val="04A0"/>
      </w:tblPr>
      <w:tblGrid>
        <w:gridCol w:w="2880"/>
        <w:gridCol w:w="6480"/>
      </w:tblGrid>
      <w:tr>
        <w:trPr>
          <w:tblHeader w:val="true"/>
        </w:trPr>
        <w:tc>
          <w:tcPr>
            <w:tcW w:type="dxa" w:w="2880"/>
            <w:shd w:fill="E8EEF5"/>
            <w:vAlign w:val="center"/>
          </w:tcPr>
          <w:p>
            <w:pPr>
              <w:spacing w:before="0" w:after="0" w:line="264" w:lineRule="auto"/>
            </w:pPr>
            <w:r>
              <w:rPr>
                <w:rFonts w:ascii="Calibri" w:hAnsi="Calibri"/>
                <w:b/>
                <w:i w:val="0"/>
                <w:color w:val="1F4D78"/>
                <w:sz w:val="20"/>
              </w:rPr>
              <w:t xml:space="preserve">Capability</w:t>
            </w:r>
          </w:p>
        </w:tc>
        <w:tc>
          <w:tcPr>
            <w:tcW w:type="dxa" w:w="6480"/>
            <w:shd w:fill="E8EEF5"/>
            <w:vAlign w:val="center"/>
          </w:tcPr>
          <w:p>
            <w:pPr>
              <w:spacing w:before="0" w:after="0" w:line="264" w:lineRule="auto"/>
            </w:pPr>
            <w:r>
              <w:rPr>
                <w:rFonts w:ascii="Calibri" w:hAnsi="Calibri"/>
                <w:b/>
                <w:i w:val="0"/>
                <w:color w:val="1F4D78"/>
                <w:sz w:val="20"/>
              </w:rPr>
              <w:t xml:space="preserve">Implementation in repository</w:t>
            </w:r>
          </w:p>
        </w:tc>
      </w:tr>
      <w:tr>
        <w:tc>
          <w:tcPr>
            <w:tcW w:type="dxa" w:w="2880"/>
            <w:vAlign w:val="center"/>
          </w:tcPr>
          <w:p>
            <w:pPr>
              <w:spacing w:before="0" w:after="0" w:line="252" w:lineRule="auto"/>
            </w:pPr>
            <w:r>
              <w:rPr>
                <w:rFonts w:ascii="Calibri" w:hAnsi="Calibri"/>
                <w:b w:val="0"/>
                <w:i w:val="0"/>
                <w:color w:val="1F2937"/>
                <w:sz w:val="19"/>
              </w:rPr>
              <w:t xml:space="preserve">Batch processing</w:t>
            </w:r>
          </w:p>
        </w:tc>
        <w:tc>
          <w:tcPr>
            <w:tcW w:type="dxa" w:w="6480"/>
            <w:vAlign w:val="center"/>
          </w:tcPr>
          <w:p>
            <w:pPr>
              <w:spacing w:before="0" w:after="0" w:line="252" w:lineRule="auto"/>
            </w:pPr>
            <w:r>
              <w:rPr>
                <w:rFonts w:ascii="Calibri" w:hAnsi="Calibri"/>
                <w:b w:val="0"/>
                <w:i w:val="0"/>
                <w:color w:val="1F2937"/>
                <w:sz w:val="19"/>
              </w:rPr>
              <w:t xml:space="preserve">metadata.batch_control stores pipeline_name, status, timing, processed records, and rejected records.</w:t>
            </w:r>
          </w:p>
        </w:tc>
      </w:tr>
      <w:tr>
        <w:tc>
          <w:tcPr>
            <w:tcW w:type="dxa" w:w="2880"/>
            <w:vAlign w:val="center"/>
          </w:tcPr>
          <w:p>
            <w:pPr>
              <w:spacing w:before="0" w:after="0" w:line="252" w:lineRule="auto"/>
            </w:pPr>
            <w:r>
              <w:rPr>
                <w:rFonts w:ascii="Calibri" w:hAnsi="Calibri"/>
                <w:b w:val="0"/>
                <w:i w:val="0"/>
                <w:color w:val="1F2937"/>
                <w:sz w:val="19"/>
              </w:rPr>
              <w:t xml:space="preserve">Incremental loading</w:t>
            </w:r>
          </w:p>
        </w:tc>
        <w:tc>
          <w:tcPr>
            <w:tcW w:type="dxa" w:w="6480"/>
            <w:vAlign w:val="center"/>
          </w:tcPr>
          <w:p>
            <w:pPr>
              <w:spacing w:before="0" w:after="0" w:line="252" w:lineRule="auto"/>
            </w:pPr>
            <w:r>
              <w:rPr>
                <w:rFonts w:ascii="Calibri" w:hAnsi="Calibri"/>
                <w:b w:val="0"/>
                <w:i w:val="0"/>
                <w:color w:val="1F2937"/>
                <w:sz w:val="19"/>
              </w:rPr>
              <w:t xml:space="preserve">scripts/incremental_load.py reads metadata.load_tracker, selects Bronze customer rows newer than last_batch_id, then updates the tracker.</w:t>
            </w:r>
          </w:p>
        </w:tc>
      </w:tr>
      <w:tr>
        <w:tc>
          <w:tcPr>
            <w:tcW w:type="dxa" w:w="2880"/>
            <w:vAlign w:val="center"/>
          </w:tcPr>
          <w:p>
            <w:pPr>
              <w:spacing w:before="0" w:after="0" w:line="252" w:lineRule="auto"/>
            </w:pPr>
            <w:r>
              <w:rPr>
                <w:rFonts w:ascii="Calibri" w:hAnsi="Calibri"/>
                <w:b w:val="0"/>
                <w:i w:val="0"/>
                <w:color w:val="1F2937"/>
                <w:sz w:val="19"/>
              </w:rPr>
              <w:t xml:space="preserve">Silver transformation</w:t>
            </w:r>
          </w:p>
        </w:tc>
        <w:tc>
          <w:tcPr>
            <w:tcW w:type="dxa" w:w="6480"/>
            <w:vAlign w:val="center"/>
          </w:tcPr>
          <w:p>
            <w:pPr>
              <w:spacing w:before="0" w:after="0" w:line="252" w:lineRule="auto"/>
            </w:pPr>
            <w:r>
              <w:rPr>
                <w:rFonts w:ascii="Calibri" w:hAnsi="Calibri"/>
                <w:b w:val="0"/>
                <w:i w:val="0"/>
                <w:color w:val="1F2937"/>
                <w:sz w:val="19"/>
              </w:rPr>
              <w:t xml:space="preserve">scripts/silver_transformations.py executes 01_customers.sql through 06_order_fact.sql.</w:t>
            </w:r>
          </w:p>
        </w:tc>
      </w:tr>
      <w:tr>
        <w:tc>
          <w:tcPr>
            <w:tcW w:type="dxa" w:w="2880"/>
            <w:vAlign w:val="center"/>
          </w:tcPr>
          <w:p>
            <w:pPr>
              <w:spacing w:before="0" w:after="0" w:line="252" w:lineRule="auto"/>
            </w:pPr>
            <w:r>
              <w:rPr>
                <w:rFonts w:ascii="Calibri" w:hAnsi="Calibri"/>
                <w:b w:val="0"/>
                <w:i w:val="0"/>
                <w:color w:val="1F2937"/>
                <w:sz w:val="19"/>
              </w:rPr>
              <w:t xml:space="preserve">Gold transformation</w:t>
            </w:r>
          </w:p>
        </w:tc>
        <w:tc>
          <w:tcPr>
            <w:tcW w:type="dxa" w:w="6480"/>
            <w:vAlign w:val="center"/>
          </w:tcPr>
          <w:p>
            <w:pPr>
              <w:spacing w:before="0" w:after="0" w:line="252" w:lineRule="auto"/>
            </w:pPr>
            <w:r>
              <w:rPr>
                <w:rFonts w:ascii="Calibri" w:hAnsi="Calibri"/>
                <w:b w:val="0"/>
                <w:i w:val="0"/>
                <w:color w:val="1F2937"/>
                <w:sz w:val="19"/>
              </w:rPr>
              <w:t xml:space="preserve">scripts/gold_transformations.py executes sales, product, and seller aggregation SQL.</w:t>
            </w:r>
          </w:p>
        </w:tc>
      </w:tr>
      <w:tr>
        <w:tc>
          <w:tcPr>
            <w:tcW w:type="dxa" w:w="2880"/>
            <w:vAlign w:val="center"/>
          </w:tcPr>
          <w:p>
            <w:pPr>
              <w:spacing w:before="0" w:after="0" w:line="252" w:lineRule="auto"/>
            </w:pPr>
            <w:r>
              <w:rPr>
                <w:rFonts w:ascii="Calibri" w:hAnsi="Calibri"/>
                <w:b w:val="0"/>
                <w:i w:val="0"/>
                <w:color w:val="1F2937"/>
                <w:sz w:val="19"/>
              </w:rPr>
              <w:t xml:space="preserve">Audit tracking</w:t>
            </w:r>
          </w:p>
        </w:tc>
        <w:tc>
          <w:tcPr>
            <w:tcW w:type="dxa" w:w="6480"/>
            <w:vAlign w:val="center"/>
          </w:tcPr>
          <w:p>
            <w:pPr>
              <w:spacing w:before="0" w:after="0" w:line="252" w:lineRule="auto"/>
            </w:pPr>
            <w:r>
              <w:rPr>
                <w:rFonts w:ascii="Calibri" w:hAnsi="Calibri"/>
                <w:b w:val="0"/>
                <w:i w:val="0"/>
                <w:color w:val="1F2937"/>
                <w:sz w:val="19"/>
              </w:rPr>
              <w:t xml:space="preserve">Pipeline and validation endpoints expose batch metadata, records processed, duration, and validation status.</w:t>
            </w:r>
          </w:p>
        </w:tc>
      </w:tr>
    </w:tbl>
    <w:p>
      <w:pPr>
        <w:spacing w:after="40"/>
      </w:pPr>
    </w:p>
    <w:p>
      <w:pPr>
        <w:pStyle w:val="Heading1"/>
        <w:keepNext/>
        <w:spacing w:before="320" w:after="120" w:line="240" w:lineRule="auto"/>
      </w:pPr>
      <w:r>
        <w:rPr>
          <w:rFonts w:ascii="Calibri" w:hAnsi="Calibri"/>
          <w:b/>
          <w:i w:val="0"/>
          <w:color w:val="2E74B5"/>
          <w:sz w:val="32"/>
        </w:rPr>
        <w:t>7. Data Quality and Validation</w:t>
      </w:r>
    </w:p>
    <w:p>
      <w:pPr>
        <w:spacing w:before="0" w:after="120" w:line="264" w:lineRule="auto"/>
      </w:pPr>
      <w:r>
        <w:rPr>
          <w:rFonts w:ascii="Calibri" w:hAnsi="Calibri"/>
          <w:b w:val="0"/>
          <w:i w:val="0"/>
          <w:color w:val="1F2937"/>
          <w:sz w:val="22"/>
        </w:rPr>
        <w:t xml:space="preserve">Data quality is enforced through a complete Great Expectations implementation that validates the conformed and analytics layers after every pipeline run. The dashboard now visualizes validation status directly, rather than surfacing quality only through scripts and logs.</w:t>
      </w:r>
    </w:p>
    <w:tbl>
      <w:tblPr>
        <w:tblStyle w:val="TableGrid"/>
        <w:tblW w:type="auto" w:w="0"/>
        <w:tblLayout w:type="fixed"/>
        <w:tblLook w:firstColumn="1" w:firstRow="1" w:lastColumn="0" w:lastRow="0" w:noHBand="0" w:noVBand="1" w:val="04A0"/>
      </w:tblPr>
      <w:tblGrid>
        <w:gridCol w:w="2880"/>
        <w:gridCol w:w="6480"/>
      </w:tblGrid>
      <w:tr>
        <w:trPr>
          <w:tblHeader w:val="true"/>
        </w:trPr>
        <w:tc>
          <w:tcPr>
            <w:tcW w:type="dxa" w:w="2880"/>
            <w:shd w:fill="E8EEF5"/>
            <w:vAlign w:val="center"/>
          </w:tcPr>
          <w:p>
            <w:pPr>
              <w:spacing w:before="0" w:after="0" w:line="264" w:lineRule="auto"/>
            </w:pPr>
            <w:r>
              <w:rPr>
                <w:rFonts w:ascii="Calibri" w:hAnsi="Calibri"/>
                <w:b/>
                <w:i w:val="0"/>
                <w:color w:val="1F4D78"/>
                <w:sz w:val="20"/>
              </w:rPr>
              <w:t xml:space="preserve">Validation category</w:t>
            </w:r>
          </w:p>
        </w:tc>
        <w:tc>
          <w:tcPr>
            <w:tcW w:type="dxa" w:w="6480"/>
            <w:shd w:fill="E8EEF5"/>
            <w:vAlign w:val="center"/>
          </w:tcPr>
          <w:p>
            <w:pPr>
              <w:spacing w:before="0" w:after="0" w:line="264" w:lineRule="auto"/>
            </w:pPr>
            <w:r>
              <w:rPr>
                <w:rFonts w:ascii="Calibri" w:hAnsi="Calibri"/>
                <w:b/>
                <w:i w:val="0"/>
                <w:color w:val="1F4D78"/>
                <w:sz w:val="20"/>
              </w:rPr>
              <w:t xml:space="preserve">Purpose</w:t>
            </w:r>
          </w:p>
        </w:tc>
      </w:tr>
      <w:tr>
        <w:tc>
          <w:tcPr>
            <w:tcW w:type="dxa" w:w="2880"/>
            <w:vAlign w:val="center"/>
          </w:tcPr>
          <w:p>
            <w:pPr>
              <w:spacing w:before="0" w:after="0" w:line="252" w:lineRule="auto"/>
            </w:pPr>
            <w:r>
              <w:rPr>
                <w:rFonts w:ascii="Calibri" w:hAnsi="Calibri"/>
                <w:b w:val="0"/>
                <w:i w:val="0"/>
                <w:color w:val="1F2937"/>
                <w:sz w:val="19"/>
              </w:rPr>
              <w:t xml:space="preserve">Null validation</w:t>
            </w:r>
          </w:p>
        </w:tc>
        <w:tc>
          <w:tcPr>
            <w:tcW w:type="dxa" w:w="6480"/>
            <w:vAlign w:val="center"/>
          </w:tcPr>
          <w:p>
            <w:pPr>
              <w:spacing w:before="0" w:after="0" w:line="252" w:lineRule="auto"/>
            </w:pPr>
            <w:r>
              <w:rPr>
                <w:rFonts w:ascii="Calibri" w:hAnsi="Calibri"/>
                <w:b w:val="0"/>
                <w:i w:val="0"/>
                <w:color w:val="1F2937"/>
                <w:sz w:val="19"/>
              </w:rPr>
              <w:t xml:space="preserve">Confirms that required fields are populated across Silver and Gold datasets.</w:t>
            </w:r>
          </w:p>
        </w:tc>
      </w:tr>
      <w:tr>
        <w:tc>
          <w:tcPr>
            <w:tcW w:type="dxa" w:w="2880"/>
            <w:vAlign w:val="center"/>
          </w:tcPr>
          <w:p>
            <w:pPr>
              <w:spacing w:before="0" w:after="0" w:line="252" w:lineRule="auto"/>
            </w:pPr>
            <w:r>
              <w:rPr>
                <w:rFonts w:ascii="Calibri" w:hAnsi="Calibri"/>
                <w:b w:val="0"/>
                <w:i w:val="0"/>
                <w:color w:val="1F2937"/>
                <w:sz w:val="19"/>
              </w:rPr>
              <w:t xml:space="preserve">Uniqueness validation</w:t>
            </w:r>
          </w:p>
        </w:tc>
        <w:tc>
          <w:tcPr>
            <w:tcW w:type="dxa" w:w="6480"/>
            <w:vAlign w:val="center"/>
          </w:tcPr>
          <w:p>
            <w:pPr>
              <w:spacing w:before="0" w:after="0" w:line="252" w:lineRule="auto"/>
            </w:pPr>
            <w:r>
              <w:rPr>
                <w:rFonts w:ascii="Calibri" w:hAnsi="Calibri"/>
                <w:b w:val="0"/>
                <w:i w:val="0"/>
                <w:color w:val="1F2937"/>
                <w:sz w:val="19"/>
              </w:rPr>
              <w:t xml:space="preserve">Confirms primary identifiers such as customer_id and order_id are not duplicated.</w:t>
            </w:r>
          </w:p>
        </w:tc>
      </w:tr>
      <w:tr>
        <w:tc>
          <w:tcPr>
            <w:tcW w:type="dxa" w:w="2880"/>
            <w:vAlign w:val="center"/>
          </w:tcPr>
          <w:p>
            <w:pPr>
              <w:spacing w:before="0" w:after="0" w:line="252" w:lineRule="auto"/>
            </w:pPr>
            <w:r>
              <w:rPr>
                <w:rFonts w:ascii="Calibri" w:hAnsi="Calibri"/>
                <w:b w:val="0"/>
                <w:i w:val="0"/>
                <w:color w:val="1F2937"/>
                <w:sz w:val="19"/>
              </w:rPr>
              <w:t xml:space="preserve">Referential integrity</w:t>
            </w:r>
          </w:p>
        </w:tc>
        <w:tc>
          <w:tcPr>
            <w:tcW w:type="dxa" w:w="6480"/>
            <w:vAlign w:val="center"/>
          </w:tcPr>
          <w:p>
            <w:pPr>
              <w:spacing w:before="0" w:after="0" w:line="252" w:lineRule="auto"/>
            </w:pPr>
            <w:r>
              <w:rPr>
                <w:rFonts w:ascii="Calibri" w:hAnsi="Calibri"/>
                <w:b w:val="0"/>
                <w:i w:val="0"/>
                <w:color w:val="1F2937"/>
                <w:sz w:val="19"/>
              </w:rPr>
              <w:t xml:space="preserve">Checks that order, payment, and item records resolve to valid customer, product, and seller identifiers.</w:t>
            </w:r>
          </w:p>
        </w:tc>
      </w:tr>
      <w:tr>
        <w:tc>
          <w:tcPr>
            <w:tcW w:type="dxa" w:w="2880"/>
            <w:vAlign w:val="center"/>
          </w:tcPr>
          <w:p>
            <w:pPr>
              <w:spacing w:before="0" w:after="0" w:line="252" w:lineRule="auto"/>
            </w:pPr>
            <w:r>
              <w:rPr>
                <w:rFonts w:ascii="Calibri" w:hAnsi="Calibri"/>
                <w:b w:val="0"/>
                <w:i w:val="0"/>
                <w:color w:val="1F2937"/>
                <w:sz w:val="19"/>
              </w:rPr>
              <w:t xml:space="preserve">Volume validation</w:t>
            </w:r>
          </w:p>
        </w:tc>
        <w:tc>
          <w:tcPr>
            <w:tcW w:type="dxa" w:w="6480"/>
            <w:vAlign w:val="center"/>
          </w:tcPr>
          <w:p>
            <w:pPr>
              <w:spacing w:before="0" w:after="0" w:line="252" w:lineRule="auto"/>
            </w:pPr>
            <w:r>
              <w:rPr>
                <w:rFonts w:ascii="Calibri" w:hAnsi="Calibri"/>
                <w:b w:val="0"/>
                <w:i w:val="0"/>
                <w:color w:val="1F2937"/>
                <w:sz w:val="19"/>
              </w:rPr>
              <w:t xml:space="preserve">Confirms that expected Silver and Gold datasets contain rows after transformation.</w:t>
            </w:r>
          </w:p>
        </w:tc>
      </w:tr>
      <w:tr>
        <w:tc>
          <w:tcPr>
            <w:tcW w:type="dxa" w:w="2880"/>
            <w:vAlign w:val="center"/>
          </w:tcPr>
          <w:p>
            <w:pPr>
              <w:spacing w:before="0" w:after="0" w:line="252" w:lineRule="auto"/>
            </w:pPr>
            <w:r>
              <w:rPr>
                <w:rFonts w:ascii="Calibri" w:hAnsi="Calibri"/>
                <w:b w:val="0"/>
                <w:i w:val="0"/>
                <w:color w:val="1F2937"/>
                <w:sz w:val="19"/>
              </w:rPr>
              <w:t xml:space="preserve">Positive value validation</w:t>
            </w:r>
          </w:p>
        </w:tc>
        <w:tc>
          <w:tcPr>
            <w:tcW w:type="dxa" w:w="6480"/>
            <w:vAlign w:val="center"/>
          </w:tcPr>
          <w:p>
            <w:pPr>
              <w:spacing w:before="0" w:after="0" w:line="252" w:lineRule="auto"/>
            </w:pPr>
            <w:r>
              <w:rPr>
                <w:rFonts w:ascii="Calibri" w:hAnsi="Calibri"/>
                <w:b w:val="0"/>
                <w:i w:val="0"/>
                <w:color w:val="1F2937"/>
                <w:sz w:val="19"/>
              </w:rPr>
              <w:t xml:space="preserve">Confirms price, freight, and payment values fall within expected non-negative ranges.</w:t>
            </w:r>
          </w:p>
        </w:tc>
      </w:tr>
      <w:tr>
        <w:tc>
          <w:tcPr>
            <w:tcW w:type="dxa" w:w="2880"/>
            <w:vAlign w:val="center"/>
          </w:tcPr>
          <w:p>
            <w:pPr>
              <w:spacing w:before="0" w:after="0" w:line="252" w:lineRule="auto"/>
            </w:pPr>
            <w:r>
              <w:rPr>
                <w:rFonts w:ascii="Calibri" w:hAnsi="Calibri"/>
                <w:b w:val="0"/>
                <w:i w:val="0"/>
                <w:color w:val="1F2937"/>
                <w:sz w:val="19"/>
              </w:rPr>
              <w:t xml:space="preserve">Data reconciliation</w:t>
            </w:r>
          </w:p>
        </w:tc>
        <w:tc>
          <w:tcPr>
            <w:tcW w:type="dxa" w:w="6480"/>
            <w:vAlign w:val="center"/>
          </w:tcPr>
          <w:p>
            <w:pPr>
              <w:spacing w:before="0" w:after="0" w:line="252" w:lineRule="auto"/>
            </w:pPr>
            <w:r>
              <w:rPr>
                <w:rFonts w:ascii="Calibri" w:hAnsi="Calibri"/>
                <w:b w:val="0"/>
                <w:i w:val="0"/>
                <w:color w:val="1F2937"/>
                <w:sz w:val="19"/>
              </w:rPr>
              <w:t xml:space="preserve">Compares Bronze and Silver entity row counts for customer, order, product, seller, and payment entities.</w:t>
            </w:r>
          </w:p>
        </w:tc>
      </w:tr>
    </w:tbl>
    <w:p>
      <w:pPr>
        <w:spacing w:after="40"/>
      </w:pPr>
    </w:p>
    <w:p>
      <w:pPr>
        <w:spacing w:before="0" w:after="120" w:line="264" w:lineRule="auto"/>
      </w:pPr>
      <w:r>
        <w:rPr>
          <w:rFonts w:ascii="Calibri" w:hAnsi="Calibri"/>
          <w:b w:val="0"/>
          <w:i w:val="0"/>
          <w:color w:val="1F2937"/>
          <w:sz w:val="22"/>
        </w:rPr>
        <w:t xml:space="preserve">Every Great Expectations run produces a quality score, a validation history entry, and a set of expectation results. These are exposed through API-driven quality reporting and rendered in the Data Quality Center, including validation success rate, passed and failed expectation counts, total coverage, a validation health trend, and a failure distribution by expectation type.</w:t>
      </w:r>
    </w:p>
    <w:p>
      <w:pPr>
        <w:spacing w:before="0" w:after="120" w:line="264" w:lineRule="auto"/>
      </w:pPr>
      <w:r>
        <w:rPr>
          <w:rFonts w:ascii="Calibri" w:hAnsi="Calibri"/>
          <w:b w:val="0"/>
          <w:i w:val="0"/>
          <w:color w:val="1F2937"/>
          <w:sz w:val="22"/>
        </w:rPr>
        <w:t xml:space="preserve">Data Quality Score = 100 when the latest batch completes successfully with zero rejected records and all expectations pass, as exposed through the quality and analytics dashboard posture.</w:t>
      </w:r>
    </w:p>
    <w:p>
      <w:pPr>
        <w:pStyle w:val="Heading1"/>
        <w:keepNext/>
        <w:spacing w:before="320" w:after="120" w:line="240" w:lineRule="auto"/>
      </w:pPr>
      <w:r>
        <w:rPr>
          <w:rFonts w:ascii="Calibri" w:hAnsi="Calibri"/>
          <w:b/>
          <w:i w:val="0"/>
          <w:color w:val="2E74B5"/>
          <w:sz w:val="32"/>
        </w:rPr>
        <w:t>8. Slowly Changing Dimensions</w:t>
      </w:r>
    </w:p>
    <w:p>
      <w:pPr>
        <w:spacing w:before="0" w:after="120" w:line="264" w:lineRule="auto"/>
      </w:pPr>
      <w:r>
        <w:rPr>
          <w:rFonts w:ascii="Calibri" w:hAnsi="Calibri"/>
          <w:b w:val="0"/>
          <w:i w:val="0"/>
          <w:color w:val="1F2937"/>
          <w:sz w:val="22"/>
        </w:rPr>
        <w:t xml:space="preserve">The project adds silver.customers_scd for customer city/state dimension management. It stores customer_id, city, state, effective start/end dates, is_current, version_number, and created_at. A partial unique index ensures only one current version per customer.</w:t>
      </w:r>
    </w:p>
    <w:tbl>
      <w:tblPr>
        <w:tblStyle w:val="TableGrid"/>
        <w:tblW w:type="auto" w:w="0"/>
        <w:tblLayout w:type="fixed"/>
        <w:tblLook w:firstColumn="1" w:firstRow="1" w:lastColumn="0" w:lastRow="0" w:noHBand="0" w:noVBand="1" w:val="04A0"/>
      </w:tblPr>
      <w:tblGrid>
        <w:gridCol w:w="2880"/>
        <w:gridCol w:w="6480"/>
      </w:tblGrid>
      <w:tr>
        <w:trPr>
          <w:tblHeader w:val="true"/>
        </w:trPr>
        <w:tc>
          <w:tcPr>
            <w:tcW w:type="dxa" w:w="2880"/>
            <w:shd w:fill="E8EEF5"/>
            <w:vAlign w:val="center"/>
          </w:tcPr>
          <w:p>
            <w:pPr>
              <w:spacing w:before="0" w:after="0" w:line="264" w:lineRule="auto"/>
            </w:pPr>
            <w:r>
              <w:rPr>
                <w:rFonts w:ascii="Calibri" w:hAnsi="Calibri"/>
                <w:b/>
                <w:i w:val="0"/>
                <w:color w:val="1F4D78"/>
                <w:sz w:val="20"/>
              </w:rPr>
              <w:t xml:space="preserve">SCD approach</w:t>
            </w:r>
          </w:p>
        </w:tc>
        <w:tc>
          <w:tcPr>
            <w:tcW w:type="dxa" w:w="6480"/>
            <w:shd w:fill="E8EEF5"/>
            <w:vAlign w:val="center"/>
          </w:tcPr>
          <w:p>
            <w:pPr>
              <w:spacing w:before="0" w:after="0" w:line="264" w:lineRule="auto"/>
            </w:pPr>
            <w:r>
              <w:rPr>
                <w:rFonts w:ascii="Calibri" w:hAnsi="Calibri"/>
                <w:b/>
                <w:i w:val="0"/>
                <w:color w:val="1F4D78"/>
                <w:sz w:val="20"/>
              </w:rPr>
              <w:t xml:space="preserve">Behavior</w:t>
            </w:r>
          </w:p>
        </w:tc>
      </w:tr>
      <w:tr>
        <w:tc>
          <w:tcPr>
            <w:tcW w:type="dxa" w:w="2880"/>
            <w:vAlign w:val="center"/>
          </w:tcPr>
          <w:p>
            <w:pPr>
              <w:spacing w:before="0" w:after="0" w:line="252" w:lineRule="auto"/>
            </w:pPr>
            <w:r>
              <w:rPr>
                <w:rFonts w:ascii="Calibri" w:hAnsi="Calibri"/>
                <w:b w:val="0"/>
                <w:i w:val="0"/>
                <w:color w:val="1F2937"/>
                <w:sz w:val="19"/>
              </w:rPr>
              <w:t xml:space="preserve">SCD Type 1</w:t>
            </w:r>
          </w:p>
        </w:tc>
        <w:tc>
          <w:tcPr>
            <w:tcW w:type="dxa" w:w="6480"/>
            <w:vAlign w:val="center"/>
          </w:tcPr>
          <w:p>
            <w:pPr>
              <w:spacing w:before="0" w:after="0" w:line="252" w:lineRule="auto"/>
            </w:pPr>
            <w:r>
              <w:rPr>
                <w:rFonts w:ascii="Calibri" w:hAnsi="Calibri"/>
                <w:b w:val="0"/>
                <w:i w:val="0"/>
                <w:color w:val="1F2937"/>
                <w:sz w:val="19"/>
              </w:rPr>
              <w:t xml:space="preserve">Overwrites the current customer_city and customer_state values; no additional history version is created.</w:t>
            </w:r>
          </w:p>
        </w:tc>
      </w:tr>
      <w:tr>
        <w:tc>
          <w:tcPr>
            <w:tcW w:type="dxa" w:w="2880"/>
            <w:vAlign w:val="center"/>
          </w:tcPr>
          <w:p>
            <w:pPr>
              <w:spacing w:before="0" w:after="0" w:line="252" w:lineRule="auto"/>
            </w:pPr>
            <w:r>
              <w:rPr>
                <w:rFonts w:ascii="Calibri" w:hAnsi="Calibri"/>
                <w:b w:val="0"/>
                <w:i w:val="0"/>
                <w:color w:val="1F2937"/>
                <w:sz w:val="19"/>
              </w:rPr>
              <w:t xml:space="preserve">SCD Type 2</w:t>
            </w:r>
          </w:p>
        </w:tc>
        <w:tc>
          <w:tcPr>
            <w:tcW w:type="dxa" w:w="6480"/>
            <w:vAlign w:val="center"/>
          </w:tcPr>
          <w:p>
            <w:pPr>
              <w:spacing w:before="0" w:after="0" w:line="252" w:lineRule="auto"/>
            </w:pPr>
            <w:r>
              <w:rPr>
                <w:rFonts w:ascii="Calibri" w:hAnsi="Calibri"/>
                <w:b w:val="0"/>
                <w:i w:val="0"/>
                <w:color w:val="1F2937"/>
                <w:sz w:val="19"/>
              </w:rPr>
              <w:t xml:space="preserve">Detects city/state changes, expires the current row, records effective_end_date, sets is_current to false, and inserts the next version.</w:t>
            </w:r>
          </w:p>
        </w:tc>
      </w:tr>
    </w:tbl>
    <w:p>
      <w:pPr>
        <w:spacing w:after="40"/>
      </w:pPr>
    </w:p>
    <w:p>
      <w:pPr>
        <w:spacing w:before="0" w:after="120" w:line="264" w:lineRule="auto"/>
      </w:pPr>
      <w:r>
        <w:rPr>
          <w:rFonts w:ascii="Calibri" w:hAnsi="Calibri"/>
          <w:b w:val="0"/>
          <w:i w:val="0"/>
          <w:color w:val="1F2937"/>
          <w:sz w:val="22"/>
        </w:rPr>
        <w:t xml:space="preserve">Demonstrated customer: 00012a2ce6f8dcda20d059ce98491703</w:t>
      </w:r>
    </w:p>
    <w:tbl>
      <w:tblPr>
        <w:tblStyle w:val="TableGrid"/>
        <w:tblW w:type="auto" w:w="0"/>
        <w:tblLayout w:type="fixed"/>
        <w:tblLook w:firstColumn="1" w:firstRow="1" w:lastColumn="0" w:lastRow="0" w:noHBand="0" w:noVBand="1" w:val="04A0"/>
      </w:tblPr>
      <w:tblGrid>
        <w:gridCol w:w="1468"/>
        <w:gridCol w:w="115"/>
        <w:gridCol w:w="1468"/>
        <w:gridCol w:w="115"/>
        <w:gridCol w:w="1468"/>
      </w:tblGrid>
      <w:tr>
        <w:tc>
          <w:tcPr>
            <w:tcW w:type="dxa" w:w="1468"/>
            <w:shd w:fill="E8EEF5"/>
            <w:vAlign w:val="center"/>
          </w:tcPr>
          <w:p>
            <w:pPr>
              <w:spacing w:before="0" w:after="0" w:line="264" w:lineRule="auto"/>
              <w:jc w:val="center"/>
            </w:pPr>
            <w:r>
              <w:rPr>
                <w:rFonts w:ascii="Calibri" w:hAnsi="Calibri"/>
                <w:b/>
                <w:i w:val="0"/>
                <w:color w:val="1F4D78"/>
                <w:sz w:val="17"/>
              </w:rPr>
              <w:t xml:space="preserve">Version 1</w:t>
            </w:r>
          </w:p>
        </w:tc>
        <w:tc>
          <w:tcPr>
            <w:tcW w:type="dxa" w:w="115"/>
          </w:tcPr>
          <w:p>
            <w:pPr>
              <w:spacing w:before="0" w:after="0" w:line="264" w:lineRule="auto"/>
              <w:jc w:val="center"/>
            </w:pPr>
            <w:r>
              <w:rPr>
                <w:rFonts w:ascii="Calibri" w:hAnsi="Calibri"/>
                <w:b/>
                <w:i w:val="0"/>
                <w:color w:val="2E74B5"/>
                <w:sz w:val="22"/>
              </w:rPr>
              <w:t>→</w:t>
            </w:r>
          </w:p>
        </w:tc>
        <w:tc>
          <w:tcPr>
            <w:tcW w:type="dxa" w:w="1468"/>
            <w:shd w:fill="E8EEF5"/>
            <w:vAlign w:val="center"/>
          </w:tcPr>
          <w:p>
            <w:pPr>
              <w:spacing w:before="0" w:after="0" w:line="264" w:lineRule="auto"/>
              <w:jc w:val="center"/>
            </w:pPr>
            <w:r>
              <w:rPr>
                <w:rFonts w:ascii="Calibri" w:hAnsi="Calibri"/>
                <w:b/>
                <w:i w:val="0"/>
                <w:color w:val="1F4D78"/>
                <w:sz w:val="17"/>
              </w:rPr>
              <w:t xml:space="preserve">Change Detected</w:t>
            </w:r>
          </w:p>
        </w:tc>
        <w:tc>
          <w:tcPr>
            <w:tcW w:type="dxa" w:w="115"/>
          </w:tcPr>
          <w:p>
            <w:pPr>
              <w:spacing w:before="0" w:after="0" w:line="264" w:lineRule="auto"/>
              <w:jc w:val="center"/>
            </w:pPr>
            <w:r>
              <w:rPr>
                <w:rFonts w:ascii="Calibri" w:hAnsi="Calibri"/>
                <w:b/>
                <w:i w:val="0"/>
                <w:color w:val="2E74B5"/>
                <w:sz w:val="22"/>
              </w:rPr>
              <w:t>→</w:t>
            </w:r>
          </w:p>
        </w:tc>
        <w:tc>
          <w:tcPr>
            <w:tcW w:type="dxa" w:w="1468"/>
            <w:shd w:fill="E8EEF5"/>
            <w:vAlign w:val="center"/>
          </w:tcPr>
          <w:p>
            <w:pPr>
              <w:spacing w:before="0" w:after="0" w:line="264" w:lineRule="auto"/>
              <w:jc w:val="center"/>
            </w:pPr>
            <w:r>
              <w:rPr>
                <w:rFonts w:ascii="Calibri" w:hAnsi="Calibri"/>
                <w:b/>
                <w:i w:val="0"/>
                <w:color w:val="1F4D78"/>
                <w:sz w:val="17"/>
              </w:rPr>
              <w:t xml:space="preserve">Version 2</w:t>
            </w:r>
          </w:p>
        </w:tc>
      </w:tr>
    </w:tbl>
    <w:p>
      <w:pPr>
        <w:spacing w:after="40"/>
      </w:pPr>
    </w:p>
    <w:tbl>
      <w:tblPr>
        <w:tblStyle w:val="TableGrid"/>
        <w:tblW w:type="auto" w:w="0"/>
        <w:tblLayout w:type="fixed"/>
        <w:tblLook w:firstColumn="1" w:firstRow="1" w:lastColumn="0" w:lastRow="0" w:noHBand="0" w:noVBand="1" w:val="04A0"/>
      </w:tblPr>
      <w:tblGrid>
        <w:gridCol w:w="1560"/>
        <w:gridCol w:w="2600"/>
        <w:gridCol w:w="2400"/>
        <w:gridCol w:w="2800"/>
      </w:tblGrid>
      <w:tr>
        <w:trPr>
          <w:tblHeader w:val="true"/>
        </w:trPr>
        <w:tc>
          <w:tcPr>
            <w:tcW w:type="dxa" w:w="1560"/>
            <w:shd w:fill="E8EEF5"/>
            <w:vAlign w:val="center"/>
          </w:tcPr>
          <w:p>
            <w:pPr>
              <w:spacing w:before="0" w:after="0" w:line="264" w:lineRule="auto"/>
            </w:pPr>
            <w:r>
              <w:rPr>
                <w:rFonts w:ascii="Calibri" w:hAnsi="Calibri"/>
                <w:b/>
                <w:i w:val="0"/>
                <w:color w:val="1F4D78"/>
                <w:sz w:val="20"/>
              </w:rPr>
              <w:t xml:space="preserve">Version</w:t>
            </w:r>
          </w:p>
        </w:tc>
        <w:tc>
          <w:tcPr>
            <w:tcW w:type="dxa" w:w="2600"/>
            <w:shd w:fill="E8EEF5"/>
            <w:vAlign w:val="center"/>
          </w:tcPr>
          <w:p>
            <w:pPr>
              <w:spacing w:before="0" w:after="0" w:line="264" w:lineRule="auto"/>
            </w:pPr>
            <w:r>
              <w:rPr>
                <w:rFonts w:ascii="Calibri" w:hAnsi="Calibri"/>
                <w:b/>
                <w:i w:val="0"/>
                <w:color w:val="1F4D78"/>
                <w:sz w:val="20"/>
              </w:rPr>
              <w:t xml:space="preserve">City</w:t>
            </w:r>
          </w:p>
        </w:tc>
        <w:tc>
          <w:tcPr>
            <w:tcW w:type="dxa" w:w="2400"/>
            <w:shd w:fill="E8EEF5"/>
            <w:vAlign w:val="center"/>
          </w:tcPr>
          <w:p>
            <w:pPr>
              <w:spacing w:before="0" w:after="0" w:line="264" w:lineRule="auto"/>
            </w:pPr>
            <w:r>
              <w:rPr>
                <w:rFonts w:ascii="Calibri" w:hAnsi="Calibri"/>
                <w:b/>
                <w:i w:val="0"/>
                <w:color w:val="1F4D78"/>
                <w:sz w:val="20"/>
              </w:rPr>
              <w:t xml:space="preserve">Current state</w:t>
            </w:r>
          </w:p>
        </w:tc>
        <w:tc>
          <w:tcPr>
            <w:tcW w:type="dxa" w:w="2800"/>
            <w:shd w:fill="E8EEF5"/>
            <w:vAlign w:val="center"/>
          </w:tcPr>
          <w:p>
            <w:pPr>
              <w:spacing w:before="0" w:after="0" w:line="264" w:lineRule="auto"/>
            </w:pPr>
            <w:r>
              <w:rPr>
                <w:rFonts w:ascii="Calibri" w:hAnsi="Calibri"/>
                <w:b/>
                <w:i w:val="0"/>
                <w:color w:val="1F4D78"/>
                <w:sz w:val="20"/>
              </w:rPr>
              <w:t xml:space="preserve">History treatment</w:t>
            </w:r>
          </w:p>
        </w:tc>
      </w:tr>
      <w:tr>
        <w:tc>
          <w:tcPr>
            <w:tcW w:type="dxa" w:w="1560"/>
            <w:vAlign w:val="center"/>
          </w:tcPr>
          <w:p>
            <w:pPr>
              <w:spacing w:before="0" w:after="0" w:line="252" w:lineRule="auto"/>
            </w:pPr>
            <w:r>
              <w:rPr>
                <w:rFonts w:ascii="Calibri" w:hAnsi="Calibri"/>
                <w:b w:val="0"/>
                <w:i w:val="0"/>
                <w:color w:val="1F2937"/>
                <w:sz w:val="19"/>
              </w:rPr>
              <w:t xml:space="preserve">1</w:t>
            </w:r>
          </w:p>
        </w:tc>
        <w:tc>
          <w:tcPr>
            <w:tcW w:type="dxa" w:w="2600"/>
            <w:vAlign w:val="center"/>
          </w:tcPr>
          <w:p>
            <w:pPr>
              <w:spacing w:before="0" w:after="0" w:line="252" w:lineRule="auto"/>
            </w:pPr>
            <w:r>
              <w:rPr>
                <w:rFonts w:ascii="Calibri" w:hAnsi="Calibri"/>
                <w:b w:val="0"/>
                <w:i w:val="0"/>
                <w:color w:val="1F2937"/>
                <w:sz w:val="19"/>
              </w:rPr>
              <w:t xml:space="preserve">OSASCO</w:t>
            </w:r>
          </w:p>
        </w:tc>
        <w:tc>
          <w:tcPr>
            <w:tcW w:type="dxa" w:w="2400"/>
            <w:vAlign w:val="center"/>
          </w:tcPr>
          <w:p>
            <w:pPr>
              <w:spacing w:before="0" w:after="0" w:line="252" w:lineRule="auto"/>
            </w:pPr>
            <w:r>
              <w:rPr>
                <w:rFonts w:ascii="Calibri" w:hAnsi="Calibri"/>
                <w:b w:val="0"/>
                <w:i w:val="0"/>
                <w:color w:val="1F2937"/>
                <w:sz w:val="19"/>
              </w:rPr>
              <w:t xml:space="preserve">Historical</w:t>
            </w:r>
          </w:p>
        </w:tc>
        <w:tc>
          <w:tcPr>
            <w:tcW w:type="dxa" w:w="2800"/>
            <w:vAlign w:val="center"/>
          </w:tcPr>
          <w:p>
            <w:pPr>
              <w:spacing w:before="0" w:after="0" w:line="252" w:lineRule="auto"/>
            </w:pPr>
            <w:r>
              <w:rPr>
                <w:rFonts w:ascii="Calibri" w:hAnsi="Calibri"/>
                <w:b w:val="0"/>
                <w:i w:val="0"/>
                <w:color w:val="1F2937"/>
                <w:sz w:val="19"/>
              </w:rPr>
              <w:t xml:space="preserve">Preserved with effective_end_date and is_current = false.</w:t>
            </w:r>
          </w:p>
        </w:tc>
      </w:tr>
      <w:tr>
        <w:tc>
          <w:tcPr>
            <w:tcW w:type="dxa" w:w="1560"/>
            <w:vAlign w:val="center"/>
          </w:tcPr>
          <w:p>
            <w:pPr>
              <w:spacing w:before="0" w:after="0" w:line="252" w:lineRule="auto"/>
            </w:pPr>
            <w:r>
              <w:rPr>
                <w:rFonts w:ascii="Calibri" w:hAnsi="Calibri"/>
                <w:b w:val="0"/>
                <w:i w:val="0"/>
                <w:color w:val="1F2937"/>
                <w:sz w:val="19"/>
              </w:rPr>
              <w:t xml:space="preserve">2</w:t>
            </w:r>
          </w:p>
        </w:tc>
        <w:tc>
          <w:tcPr>
            <w:tcW w:type="dxa" w:w="2600"/>
            <w:vAlign w:val="center"/>
          </w:tcPr>
          <w:p>
            <w:pPr>
              <w:spacing w:before="0" w:after="0" w:line="252" w:lineRule="auto"/>
            </w:pPr>
            <w:r>
              <w:rPr>
                <w:rFonts w:ascii="Calibri" w:hAnsi="Calibri"/>
                <w:b w:val="0"/>
                <w:i w:val="0"/>
                <w:color w:val="1F2937"/>
                <w:sz w:val="19"/>
              </w:rPr>
              <w:t xml:space="preserve">DEMO_CITY_A</w:t>
            </w:r>
          </w:p>
        </w:tc>
        <w:tc>
          <w:tcPr>
            <w:tcW w:type="dxa" w:w="2400"/>
            <w:vAlign w:val="center"/>
          </w:tcPr>
          <w:p>
            <w:pPr>
              <w:spacing w:before="0" w:after="0" w:line="252" w:lineRule="auto"/>
            </w:pPr>
            <w:r>
              <w:rPr>
                <w:rFonts w:ascii="Calibri" w:hAnsi="Calibri"/>
                <w:b w:val="0"/>
                <w:i w:val="0"/>
                <w:color w:val="1F2937"/>
                <w:sz w:val="19"/>
              </w:rPr>
              <w:t xml:space="preserve">Current</w:t>
            </w:r>
          </w:p>
        </w:tc>
        <w:tc>
          <w:tcPr>
            <w:tcW w:type="dxa" w:w="2800"/>
            <w:vAlign w:val="center"/>
          </w:tcPr>
          <w:p>
            <w:pPr>
              <w:spacing w:before="0" w:after="0" w:line="252" w:lineRule="auto"/>
            </w:pPr>
            <w:r>
              <w:rPr>
                <w:rFonts w:ascii="Calibri" w:hAnsi="Calibri"/>
                <w:b w:val="0"/>
                <w:i w:val="0"/>
                <w:color w:val="1F2937"/>
                <w:sz w:val="19"/>
              </w:rPr>
              <w:t xml:space="preserve">Inserted as the active row with a new effective_start_date.</w:t>
            </w:r>
          </w:p>
        </w:tc>
      </w:tr>
    </w:tbl>
    <w:p>
      <w:pPr>
        <w:spacing w:after="40"/>
      </w:pPr>
    </w:p>
    <w:p>
      <w:r>
        <w:drawing>
          <wp:inline xmlns:a="http://schemas.openxmlformats.org/drawingml/2006/main" xmlns:pic="http://schemas.openxmlformats.org/drawingml/2006/picture">
            <wp:extent cx="5989320" cy="2320862"/>
            <wp:docPr id="3" name="Picture 3"/>
            <wp:cNvGraphicFramePr>
              <a:graphicFrameLocks noChangeAspect="1"/>
            </wp:cNvGraphicFramePr>
            <a:graphic>
              <a:graphicData uri="http://schemas.openxmlformats.org/drawingml/2006/picture">
                <pic:pic>
                  <pic:nvPicPr>
                    <pic:cNvPr id="0" name="scd_type_2_flow.png"/>
                    <pic:cNvPicPr/>
                  </pic:nvPicPr>
                  <pic:blipFill>
                    <a:blip r:embed="rId12"/>
                    <a:stretch>
                      <a:fillRect/>
                    </a:stretch>
                  </pic:blipFill>
                  <pic:spPr>
                    <a:xfrm>
                      <a:off x="0" y="0"/>
                      <a:ext cx="5989320" cy="2320862"/>
                    </a:xfrm>
                    <a:prstGeom prst="rect"/>
                  </pic:spPr>
                </pic:pic>
              </a:graphicData>
            </a:graphic>
          </wp:inline>
        </w:drawing>
      </w:r>
    </w:p>
    <w:p>
      <w:pPr>
        <w:spacing w:before="0" w:after="160" w:line="264" w:lineRule="auto"/>
        <w:jc w:val="center"/>
      </w:pPr>
      <w:r>
        <w:rPr>
          <w:rFonts w:ascii="Calibri" w:hAnsi="Calibri"/>
          <w:b w:val="0"/>
          <w:i/>
          <w:color w:val="6B7280"/>
          <w:sz w:val="18"/>
        </w:rPr>
        <w:t>Figure 3. Supplied SCD Type 2 diagram showing the OSASCO to DEMO_CITY_A customer location change.</w:t>
      </w:r>
    </w:p>
    <w:p>
      <w:pPr>
        <w:spacing w:before="0" w:after="120" w:line="264" w:lineRule="auto"/>
      </w:pPr>
      <w:r>
        <w:rPr>
          <w:rFonts w:ascii="Calibri" w:hAnsi="Calibri"/>
          <w:b w:val="0"/>
          <w:i w:val="0"/>
          <w:color w:val="1F2937"/>
          <w:sz w:val="22"/>
        </w:rPr>
        <w:t xml:space="preserve">The FastAPI SCD endpoints are GET /api/v1/scd/summary and GET /api/v1/scd/history/{customer_id}. The dashboard uses the history response to render the version timeline.</w:t>
      </w:r>
    </w:p>
    <w:p>
      <w:pPr>
        <w:pStyle w:val="Heading1"/>
        <w:keepNext/>
        <w:spacing w:before="320" w:after="120" w:line="240" w:lineRule="auto"/>
      </w:pPr>
      <w:r>
        <w:rPr>
          <w:rFonts w:ascii="Calibri" w:hAnsi="Calibri"/>
          <w:b/>
          <w:i w:val="0"/>
          <w:color w:val="2E74B5"/>
          <w:sz w:val="32"/>
        </w:rPr>
        <w:t>9. Airflow Orchestration</w:t>
      </w:r>
    </w:p>
    <w:p>
      <w:pPr>
        <w:spacing w:before="0" w:after="120" w:line="264" w:lineRule="auto"/>
      </w:pPr>
      <w:r>
        <w:rPr>
          <w:rFonts w:ascii="Calibri" w:hAnsi="Calibri"/>
          <w:b w:val="0"/>
          <w:i w:val="0"/>
          <w:color w:val="1F2937"/>
          <w:sz w:val="22"/>
        </w:rPr>
        <w:t xml:space="preserve">airflow/dags/warehouse_pipeline.py defines the warehouse_pipeline DAG with five BashOperator tasks: bronze_ingestion, silver_transformations, gold_transformations, validation, and gx_validation. The DAG is manual (schedule=None), starts on 2026-07-01, and executes the stages sequentially.</w:t>
      </w:r>
    </w:p>
    <w:tbl>
      <w:tblPr>
        <w:tblStyle w:val="TableGrid"/>
        <w:tblW w:type="auto" w:w="0"/>
        <w:tblLayout w:type="fixed"/>
        <w:tblLook w:firstColumn="1" w:firstRow="1" w:lastColumn="0" w:lastRow="0" w:noHBand="0" w:noVBand="1" w:val="04A0"/>
      </w:tblPr>
      <w:tblGrid>
        <w:gridCol w:w="1468"/>
        <w:gridCol w:w="115"/>
        <w:gridCol w:w="1468"/>
        <w:gridCol w:w="115"/>
        <w:gridCol w:w="1468"/>
        <w:gridCol w:w="115"/>
        <w:gridCol w:w="1468"/>
        <w:gridCol w:w="115"/>
        <w:gridCol w:w="1468"/>
      </w:tblGrid>
      <w:tr>
        <w:tc>
          <w:tcPr>
            <w:tcW w:type="dxa" w:w="1468"/>
            <w:shd w:fill="E8EEF5"/>
            <w:vAlign w:val="center"/>
          </w:tcPr>
          <w:p>
            <w:pPr>
              <w:spacing w:before="0" w:after="0" w:line="264" w:lineRule="auto"/>
              <w:jc w:val="center"/>
            </w:pPr>
            <w:r>
              <w:rPr>
                <w:rFonts w:ascii="Calibri" w:hAnsi="Calibri"/>
                <w:b/>
                <w:i w:val="0"/>
                <w:color w:val="1F4D78"/>
                <w:sz w:val="17"/>
              </w:rPr>
              <w:t xml:space="preserve">bronze_ingestion</w:t>
            </w:r>
          </w:p>
        </w:tc>
        <w:tc>
          <w:tcPr>
            <w:tcW w:type="dxa" w:w="115"/>
          </w:tcPr>
          <w:p>
            <w:pPr>
              <w:spacing w:before="0" w:after="0" w:line="264" w:lineRule="auto"/>
              <w:jc w:val="center"/>
            </w:pPr>
            <w:r>
              <w:rPr>
                <w:rFonts w:ascii="Calibri" w:hAnsi="Calibri"/>
                <w:b/>
                <w:i w:val="0"/>
                <w:color w:val="2E74B5"/>
                <w:sz w:val="22"/>
              </w:rPr>
              <w:t>→</w:t>
            </w:r>
          </w:p>
        </w:tc>
        <w:tc>
          <w:tcPr>
            <w:tcW w:type="dxa" w:w="1468"/>
            <w:shd w:fill="E8EEF5"/>
            <w:vAlign w:val="center"/>
          </w:tcPr>
          <w:p>
            <w:pPr>
              <w:spacing w:before="0" w:after="0" w:line="264" w:lineRule="auto"/>
              <w:jc w:val="center"/>
            </w:pPr>
            <w:r>
              <w:rPr>
                <w:rFonts w:ascii="Calibri" w:hAnsi="Calibri"/>
                <w:b/>
                <w:i w:val="0"/>
                <w:color w:val="1F4D78"/>
                <w:sz w:val="17"/>
              </w:rPr>
              <w:t xml:space="preserve">silver_transformations</w:t>
            </w:r>
          </w:p>
        </w:tc>
        <w:tc>
          <w:tcPr>
            <w:tcW w:type="dxa" w:w="115"/>
          </w:tcPr>
          <w:p>
            <w:pPr>
              <w:spacing w:before="0" w:after="0" w:line="264" w:lineRule="auto"/>
              <w:jc w:val="center"/>
            </w:pPr>
            <w:r>
              <w:rPr>
                <w:rFonts w:ascii="Calibri" w:hAnsi="Calibri"/>
                <w:b/>
                <w:i w:val="0"/>
                <w:color w:val="2E74B5"/>
                <w:sz w:val="22"/>
              </w:rPr>
              <w:t>→</w:t>
            </w:r>
          </w:p>
        </w:tc>
        <w:tc>
          <w:tcPr>
            <w:tcW w:type="dxa" w:w="1468"/>
            <w:shd w:fill="E8EEF5"/>
            <w:vAlign w:val="center"/>
          </w:tcPr>
          <w:p>
            <w:pPr>
              <w:spacing w:before="0" w:after="0" w:line="264" w:lineRule="auto"/>
              <w:jc w:val="center"/>
            </w:pPr>
            <w:r>
              <w:rPr>
                <w:rFonts w:ascii="Calibri" w:hAnsi="Calibri"/>
                <w:b/>
                <w:i w:val="0"/>
                <w:color w:val="1F4D78"/>
                <w:sz w:val="17"/>
              </w:rPr>
              <w:t xml:space="preserve">gold_transformations</w:t>
            </w:r>
          </w:p>
        </w:tc>
        <w:tc>
          <w:tcPr>
            <w:tcW w:type="dxa" w:w="115"/>
          </w:tcPr>
          <w:p>
            <w:pPr>
              <w:spacing w:before="0" w:after="0" w:line="264" w:lineRule="auto"/>
              <w:jc w:val="center"/>
            </w:pPr>
            <w:r>
              <w:rPr>
                <w:rFonts w:ascii="Calibri" w:hAnsi="Calibri"/>
                <w:b/>
                <w:i w:val="0"/>
                <w:color w:val="2E74B5"/>
                <w:sz w:val="22"/>
              </w:rPr>
              <w:t>→</w:t>
            </w:r>
          </w:p>
        </w:tc>
        <w:tc>
          <w:tcPr>
            <w:tcW w:type="dxa" w:w="1468"/>
            <w:shd w:fill="E8EEF5"/>
            <w:vAlign w:val="center"/>
          </w:tcPr>
          <w:p>
            <w:pPr>
              <w:spacing w:before="0" w:after="0" w:line="264" w:lineRule="auto"/>
              <w:jc w:val="center"/>
            </w:pPr>
            <w:r>
              <w:rPr>
                <w:rFonts w:ascii="Calibri" w:hAnsi="Calibri"/>
                <w:b/>
                <w:i w:val="0"/>
                <w:color w:val="1F4D78"/>
                <w:sz w:val="17"/>
              </w:rPr>
              <w:t xml:space="preserve">validation</w:t>
            </w:r>
          </w:p>
        </w:tc>
        <w:tc>
          <w:tcPr>
            <w:tcW w:type="dxa" w:w="115"/>
          </w:tcPr>
          <w:p>
            <w:pPr>
              <w:spacing w:before="0" w:after="0" w:line="264" w:lineRule="auto"/>
              <w:jc w:val="center"/>
            </w:pPr>
            <w:r>
              <w:rPr>
                <w:rFonts w:ascii="Calibri" w:hAnsi="Calibri"/>
                <w:b/>
                <w:i w:val="0"/>
                <w:color w:val="2E74B5"/>
                <w:sz w:val="22"/>
              </w:rPr>
              <w:t>→</w:t>
            </w:r>
          </w:p>
        </w:tc>
        <w:tc>
          <w:tcPr>
            <w:tcW w:type="dxa" w:w="1468"/>
            <w:shd w:fill="E8EEF5"/>
            <w:vAlign w:val="center"/>
          </w:tcPr>
          <w:p>
            <w:pPr>
              <w:spacing w:before="0" w:after="0" w:line="264" w:lineRule="auto"/>
              <w:jc w:val="center"/>
            </w:pPr>
            <w:r>
              <w:rPr>
                <w:rFonts w:ascii="Calibri" w:hAnsi="Calibri"/>
                <w:b/>
                <w:i w:val="0"/>
                <w:color w:val="1F4D78"/>
                <w:sz w:val="17"/>
              </w:rPr>
              <w:t xml:space="preserve">gx_validation</w:t>
            </w:r>
          </w:p>
        </w:tc>
      </w:tr>
    </w:tbl>
    <w:p>
      <w:pPr>
        <w:spacing w:after="40"/>
      </w:pPr>
    </w:p>
    <w:p>
      <w:pPr>
        <w:spacing w:before="0" w:after="120" w:line="264" w:lineRule="auto"/>
      </w:pPr>
      <w:r>
        <w:rPr>
          <w:rFonts w:ascii="Calibri" w:hAnsi="Calibri"/>
          <w:b w:val="0"/>
          <w:i w:val="0"/>
          <w:color w:val="1F2937"/>
          <w:sz w:val="22"/>
        </w:rPr>
        <w:t xml:space="preserve">Airflow provides a single operational view for pipeline execution, task status, and failure monitoring, while the batch_control table provides the persisted warehouse metadata that the Pipeline Health page renders as a DAG monitoring view and execution timeline.</w:t>
      </w:r>
    </w:p>
    <w:p>
      <w:pPr>
        <w:pStyle w:val="Heading1"/>
        <w:keepNext/>
        <w:spacing w:before="320" w:after="120" w:line="240" w:lineRule="auto"/>
      </w:pPr>
      <w:r>
        <w:rPr>
          <w:rFonts w:ascii="Calibri" w:hAnsi="Calibri"/>
          <w:b/>
          <w:i w:val="0"/>
          <w:color w:val="2E74B5"/>
          <w:sz w:val="32"/>
        </w:rPr>
        <w:t>10. Audit Framework</w:t>
      </w:r>
    </w:p>
    <w:p>
      <w:pPr>
        <w:spacing w:before="0" w:after="120" w:line="264" w:lineRule="auto"/>
      </w:pPr>
      <w:r>
        <w:rPr>
          <w:rFonts w:ascii="Calibri" w:hAnsi="Calibri"/>
          <w:b w:val="0"/>
          <w:i w:val="0"/>
          <w:color w:val="1F2937"/>
          <w:sz w:val="22"/>
        </w:rPr>
        <w:t xml:space="preserve">Every pipeline run is recorded in metadata.batch_control, giving the platform a complete, queryable audit trail of warehouse activity. Each batch record captures the pipeline execution metadata needed to answer what ran, when it ran, and whether it succeeded.</w:t>
      </w:r>
    </w:p>
    <w:tbl>
      <w:tblPr>
        <w:tblStyle w:val="TableGrid"/>
        <w:tblW w:type="auto" w:w="0"/>
        <w:tblLayout w:type="fixed"/>
        <w:tblLook w:firstColumn="1" w:firstRow="1" w:lastColumn="0" w:lastRow="0" w:noHBand="0" w:noVBand="1" w:val="04A0"/>
      </w:tblPr>
      <w:tblGrid>
        <w:gridCol w:w="2880"/>
        <w:gridCol w:w="6480"/>
      </w:tblGrid>
      <w:tr>
        <w:trPr>
          <w:tblHeader w:val="true"/>
        </w:trPr>
        <w:tc>
          <w:tcPr>
            <w:tcW w:type="dxa" w:w="2880"/>
            <w:shd w:fill="E8EEF5"/>
            <w:vAlign w:val="center"/>
          </w:tcPr>
          <w:p>
            <w:pPr>
              <w:spacing w:before="0" w:after="0" w:line="264" w:lineRule="auto"/>
            </w:pPr>
            <w:r>
              <w:rPr>
                <w:rFonts w:ascii="Calibri" w:hAnsi="Calibri"/>
                <w:b/>
                <w:i w:val="0"/>
                <w:color w:val="1F4D78"/>
                <w:sz w:val="20"/>
              </w:rPr>
              <w:t xml:space="preserve">Audit field</w:t>
            </w:r>
          </w:p>
        </w:tc>
        <w:tc>
          <w:tcPr>
            <w:tcW w:type="dxa" w:w="6480"/>
            <w:shd w:fill="E8EEF5"/>
            <w:vAlign w:val="center"/>
          </w:tcPr>
          <w:p>
            <w:pPr>
              <w:spacing w:before="0" w:after="0" w:line="264" w:lineRule="auto"/>
            </w:pPr>
            <w:r>
              <w:rPr>
                <w:rFonts w:ascii="Calibri" w:hAnsi="Calibri"/>
                <w:b/>
                <w:i w:val="0"/>
                <w:color w:val="1F4D78"/>
                <w:sz w:val="20"/>
              </w:rPr>
              <w:t xml:space="preserve">Description</w:t>
            </w:r>
          </w:p>
        </w:tc>
      </w:tr>
      <w:tr>
        <w:tc>
          <w:tcPr>
            <w:tcW w:type="dxa" w:w="2880"/>
            <w:vAlign w:val="center"/>
          </w:tcPr>
          <w:p>
            <w:pPr>
              <w:spacing w:before="0" w:after="0" w:line="252" w:lineRule="auto"/>
            </w:pPr>
            <w:r>
              <w:rPr>
                <w:rFonts w:ascii="Calibri" w:hAnsi="Calibri"/>
                <w:b w:val="0"/>
                <w:i w:val="0"/>
                <w:color w:val="1F2937"/>
                <w:sz w:val="19"/>
              </w:rPr>
              <w:t xml:space="preserve">Pipeline execution metadata</w:t>
            </w:r>
          </w:p>
        </w:tc>
        <w:tc>
          <w:tcPr>
            <w:tcW w:type="dxa" w:w="6480"/>
            <w:vAlign w:val="center"/>
          </w:tcPr>
          <w:p>
            <w:pPr>
              <w:spacing w:before="0" w:after="0" w:line="252" w:lineRule="auto"/>
            </w:pPr>
            <w:r>
              <w:rPr>
                <w:rFonts w:ascii="Calibri" w:hAnsi="Calibri"/>
                <w:b w:val="0"/>
                <w:i w:val="0"/>
                <w:color w:val="1F2937"/>
                <w:sz w:val="19"/>
              </w:rPr>
              <w:t xml:space="preserve">pipeline_name, batch_id, and status for every ingestion, transformation, and validation run.</w:t>
            </w:r>
          </w:p>
        </w:tc>
      </w:tr>
      <w:tr>
        <w:tc>
          <w:tcPr>
            <w:tcW w:type="dxa" w:w="2880"/>
            <w:vAlign w:val="center"/>
          </w:tcPr>
          <w:p>
            <w:pPr>
              <w:spacing w:before="0" w:after="0" w:line="252" w:lineRule="auto"/>
            </w:pPr>
            <w:r>
              <w:rPr>
                <w:rFonts w:ascii="Calibri" w:hAnsi="Calibri"/>
                <w:b w:val="0"/>
                <w:i w:val="0"/>
                <w:color w:val="1F2937"/>
                <w:sz w:val="19"/>
              </w:rPr>
              <w:t xml:space="preserve">Records processed</w:t>
            </w:r>
          </w:p>
        </w:tc>
        <w:tc>
          <w:tcPr>
            <w:tcW w:type="dxa" w:w="6480"/>
            <w:vAlign w:val="center"/>
          </w:tcPr>
          <w:p>
            <w:pPr>
              <w:spacing w:before="0" w:after="0" w:line="252" w:lineRule="auto"/>
            </w:pPr>
            <w:r>
              <w:rPr>
                <w:rFonts w:ascii="Calibri" w:hAnsi="Calibri"/>
                <w:b w:val="0"/>
                <w:i w:val="0"/>
                <w:color w:val="1F2937"/>
                <w:sz w:val="19"/>
              </w:rPr>
              <w:t xml:space="preserve">Row count successfully written by the batch.</w:t>
            </w:r>
          </w:p>
        </w:tc>
      </w:tr>
      <w:tr>
        <w:tc>
          <w:tcPr>
            <w:tcW w:type="dxa" w:w="2880"/>
            <w:vAlign w:val="center"/>
          </w:tcPr>
          <w:p>
            <w:pPr>
              <w:spacing w:before="0" w:after="0" w:line="252" w:lineRule="auto"/>
            </w:pPr>
            <w:r>
              <w:rPr>
                <w:rFonts w:ascii="Calibri" w:hAnsi="Calibri"/>
                <w:b w:val="0"/>
                <w:i w:val="0"/>
                <w:color w:val="1F2937"/>
                <w:sz w:val="19"/>
              </w:rPr>
              <w:t xml:space="preserve">Records rejected</w:t>
            </w:r>
          </w:p>
        </w:tc>
        <w:tc>
          <w:tcPr>
            <w:tcW w:type="dxa" w:w="6480"/>
            <w:vAlign w:val="center"/>
          </w:tcPr>
          <w:p>
            <w:pPr>
              <w:spacing w:before="0" w:after="0" w:line="252" w:lineRule="auto"/>
            </w:pPr>
            <w:r>
              <w:rPr>
                <w:rFonts w:ascii="Calibri" w:hAnsi="Calibri"/>
                <w:b w:val="0"/>
                <w:i w:val="0"/>
                <w:color w:val="1F2937"/>
                <w:sz w:val="19"/>
              </w:rPr>
              <w:t xml:space="preserve">Row count that failed validation or transformation rules within the batch.</w:t>
            </w:r>
          </w:p>
        </w:tc>
      </w:tr>
      <w:tr>
        <w:tc>
          <w:tcPr>
            <w:tcW w:type="dxa" w:w="2880"/>
            <w:vAlign w:val="center"/>
          </w:tcPr>
          <w:p>
            <w:pPr>
              <w:spacing w:before="0" w:after="0" w:line="252" w:lineRule="auto"/>
            </w:pPr>
            <w:r>
              <w:rPr>
                <w:rFonts w:ascii="Calibri" w:hAnsi="Calibri"/>
                <w:b w:val="0"/>
                <w:i w:val="0"/>
                <w:color w:val="1F2937"/>
                <w:sz w:val="19"/>
              </w:rPr>
              <w:t xml:space="preserve">Batch start / batch end</w:t>
            </w:r>
          </w:p>
        </w:tc>
        <w:tc>
          <w:tcPr>
            <w:tcW w:type="dxa" w:w="6480"/>
            <w:vAlign w:val="center"/>
          </w:tcPr>
          <w:p>
            <w:pPr>
              <w:spacing w:before="0" w:after="0" w:line="252" w:lineRule="auto"/>
            </w:pPr>
            <w:r>
              <w:rPr>
                <w:rFonts w:ascii="Calibri" w:hAnsi="Calibri"/>
                <w:b w:val="0"/>
                <w:i w:val="0"/>
                <w:color w:val="1F2937"/>
                <w:sz w:val="19"/>
              </w:rPr>
              <w:t xml:space="preserve">Timestamps marking the duration boundary of the batch.</w:t>
            </w:r>
          </w:p>
        </w:tc>
      </w:tr>
      <w:tr>
        <w:tc>
          <w:tcPr>
            <w:tcW w:type="dxa" w:w="2880"/>
            <w:vAlign w:val="center"/>
          </w:tcPr>
          <w:p>
            <w:pPr>
              <w:spacing w:before="0" w:after="0" w:line="252" w:lineRule="auto"/>
            </w:pPr>
            <w:r>
              <w:rPr>
                <w:rFonts w:ascii="Calibri" w:hAnsi="Calibri"/>
                <w:b w:val="0"/>
                <w:i w:val="0"/>
                <w:color w:val="1F2937"/>
                <w:sz w:val="19"/>
              </w:rPr>
              <w:t xml:space="preserve">Duration</w:t>
            </w:r>
          </w:p>
        </w:tc>
        <w:tc>
          <w:tcPr>
            <w:tcW w:type="dxa" w:w="6480"/>
            <w:vAlign w:val="center"/>
          </w:tcPr>
          <w:p>
            <w:pPr>
              <w:spacing w:before="0" w:after="0" w:line="252" w:lineRule="auto"/>
            </w:pPr>
            <w:r>
              <w:rPr>
                <w:rFonts w:ascii="Calibri" w:hAnsi="Calibri"/>
                <w:b w:val="0"/>
                <w:i w:val="0"/>
                <w:color w:val="1F2937"/>
                <w:sz w:val="19"/>
              </w:rPr>
              <w:t xml:space="preserve">Elapsed execution time computed from batch start and end.</w:t>
            </w:r>
          </w:p>
        </w:tc>
      </w:tr>
      <w:tr>
        <w:tc>
          <w:tcPr>
            <w:tcW w:type="dxa" w:w="2880"/>
            <w:vAlign w:val="center"/>
          </w:tcPr>
          <w:p>
            <w:pPr>
              <w:spacing w:before="0" w:after="0" w:line="252" w:lineRule="auto"/>
            </w:pPr>
            <w:r>
              <w:rPr>
                <w:rFonts w:ascii="Calibri" w:hAnsi="Calibri"/>
                <w:b w:val="0"/>
                <w:i w:val="0"/>
                <w:color w:val="1F2937"/>
                <w:sz w:val="19"/>
              </w:rPr>
              <w:t xml:space="preserve">Pipeline status</w:t>
            </w:r>
          </w:p>
        </w:tc>
        <w:tc>
          <w:tcPr>
            <w:tcW w:type="dxa" w:w="6480"/>
            <w:vAlign w:val="center"/>
          </w:tcPr>
          <w:p>
            <w:pPr>
              <w:spacing w:before="0" w:after="0" w:line="252" w:lineRule="auto"/>
            </w:pPr>
            <w:r>
              <w:rPr>
                <w:rFonts w:ascii="Calibri" w:hAnsi="Calibri"/>
                <w:b w:val="0"/>
                <w:i w:val="0"/>
                <w:color w:val="1F2937"/>
                <w:sz w:val="19"/>
              </w:rPr>
              <w:t xml:space="preserve">RUNNING, SUCCESS, or FAILED state for the batch.</w:t>
            </w:r>
          </w:p>
        </w:tc>
      </w:tr>
      <w:tr>
        <w:tc>
          <w:tcPr>
            <w:tcW w:type="dxa" w:w="2880"/>
            <w:vAlign w:val="center"/>
          </w:tcPr>
          <w:p>
            <w:pPr>
              <w:spacing w:before="0" w:after="0" w:line="252" w:lineRule="auto"/>
            </w:pPr>
            <w:r>
              <w:rPr>
                <w:rFonts w:ascii="Calibri" w:hAnsi="Calibri"/>
                <w:b w:val="0"/>
                <w:i w:val="0"/>
                <w:color w:val="1F2937"/>
                <w:sz w:val="19"/>
              </w:rPr>
              <w:t xml:space="preserve">Observability metrics</w:t>
            </w:r>
          </w:p>
        </w:tc>
        <w:tc>
          <w:tcPr>
            <w:tcW w:type="dxa" w:w="6480"/>
            <w:vAlign w:val="center"/>
          </w:tcPr>
          <w:p>
            <w:pPr>
              <w:spacing w:before="0" w:after="0" w:line="252" w:lineRule="auto"/>
            </w:pPr>
            <w:r>
              <w:rPr>
                <w:rFonts w:ascii="Calibri" w:hAnsi="Calibri"/>
                <w:b w:val="0"/>
                <w:i w:val="0"/>
                <w:color w:val="1F2937"/>
                <w:sz w:val="19"/>
              </w:rPr>
              <w:t xml:space="preserve">Throughput and runtime signals derived from batch metadata.</w:t>
            </w:r>
          </w:p>
        </w:tc>
      </w:tr>
      <w:tr>
        <w:tc>
          <w:tcPr>
            <w:tcW w:type="dxa" w:w="2880"/>
            <w:vAlign w:val="center"/>
          </w:tcPr>
          <w:p>
            <w:pPr>
              <w:spacing w:before="0" w:after="0" w:line="252" w:lineRule="auto"/>
            </w:pPr>
            <w:r>
              <w:rPr>
                <w:rFonts w:ascii="Calibri" w:hAnsi="Calibri"/>
                <w:b w:val="0"/>
                <w:i w:val="0"/>
                <w:color w:val="1F2937"/>
                <w:sz w:val="19"/>
              </w:rPr>
              <w:t xml:space="preserve">Quality score</w:t>
            </w:r>
          </w:p>
        </w:tc>
        <w:tc>
          <w:tcPr>
            <w:tcW w:type="dxa" w:w="6480"/>
            <w:vAlign w:val="center"/>
          </w:tcPr>
          <w:p>
            <w:pPr>
              <w:spacing w:before="0" w:after="0" w:line="252" w:lineRule="auto"/>
            </w:pPr>
            <w:r>
              <w:rPr>
                <w:rFonts w:ascii="Calibri" w:hAnsi="Calibri"/>
                <w:b w:val="0"/>
                <w:i w:val="0"/>
                <w:color w:val="1F2937"/>
                <w:sz w:val="19"/>
              </w:rPr>
              <w:t xml:space="preserve">Great Expectations success rate associated with the batch's validation run.</w:t>
            </w:r>
          </w:p>
        </w:tc>
      </w:tr>
    </w:tbl>
    <w:p>
      <w:pPr>
        <w:spacing w:after="40"/>
      </w:pPr>
    </w:p>
    <w:p>
      <w:pPr>
        <w:spacing w:before="0" w:after="120" w:line="264" w:lineRule="auto"/>
      </w:pPr>
      <w:r>
        <w:rPr>
          <w:rFonts w:ascii="Calibri" w:hAnsi="Calibri"/>
          <w:b w:val="0"/>
          <w:i w:val="0"/>
          <w:color w:val="1F2937"/>
          <w:sz w:val="22"/>
        </w:rPr>
        <w:t xml:space="preserve">Audit information is surfaced on the Pipeline Health dashboard page as records processed, runtime, throughput, pipeline success rate, a pipeline execution timeline per stage, and a DAG monitoring view that reflects the current warehouse dependency sequence and latest validation signal.</w:t>
      </w:r>
    </w:p>
    <w:p>
      <w:pPr>
        <w:pStyle w:val="Heading1"/>
        <w:keepNext/>
        <w:spacing w:before="320" w:after="120" w:line="240" w:lineRule="auto"/>
      </w:pPr>
      <w:r>
        <w:rPr>
          <w:rFonts w:ascii="Calibri" w:hAnsi="Calibri"/>
          <w:b/>
          <w:i w:val="0"/>
          <w:color w:val="2E74B5"/>
          <w:sz w:val="32"/>
        </w:rPr>
        <w:t>11. Business Intelligence Dashboard</w:t>
      </w:r>
    </w:p>
    <w:p>
      <w:pPr>
        <w:spacing w:before="0" w:after="120" w:line="264" w:lineRule="auto"/>
      </w:pPr>
      <w:r>
        <w:rPr>
          <w:rFonts w:ascii="Calibri" w:hAnsi="Calibri"/>
          <w:b w:val="0"/>
          <w:i w:val="0"/>
          <w:color w:val="1F2937"/>
          <w:sz w:val="22"/>
        </w:rPr>
        <w:t xml:space="preserve">The dashboard has been heavily expanded from the original Overview/Dataset Explorer/Pipeline Health/Data Quality set into a full, responsive Business Intelligence suite. Every page is backed by real API data served through the FastAPI response envelope and consumed with React Query.</w:t>
      </w:r>
    </w:p>
    <w:p>
      <w:pPr>
        <w:pStyle w:val="Heading2"/>
        <w:keepNext/>
        <w:spacing w:before="200" w:after="120" w:line="240" w:lineRule="auto"/>
      </w:pPr>
      <w:r>
        <w:rPr>
          <w:rFonts w:ascii="Calibri" w:hAnsi="Calibri"/>
          <w:b/>
          <w:i w:val="0"/>
          <w:color w:val="2E74B5"/>
          <w:sz w:val="26"/>
        </w:rPr>
        <w:t>Executive Dashboard</w:t>
      </w:r>
    </w:p>
    <w:p>
      <w:pPr>
        <w:spacing w:before="0" w:after="120" w:line="264" w:lineRule="auto"/>
      </w:pPr>
      <w:r>
        <w:rPr>
          <w:rFonts w:ascii="Calibri" w:hAnsi="Calibri"/>
          <w:b w:val="0"/>
          <w:i w:val="0"/>
          <w:color w:val="1F2937"/>
          <w:sz w:val="22"/>
        </w:rPr>
        <w:t xml:space="preserve">The Executive Dashboard is the landing view of the platform. It presents executive KPI cards for total revenue, total orders, total customers, and total sellers, alongside a revenue trend chart with day, week, and month granularity, a Deep Dive navigation control, top categories, payment distribution, warehouse health, and pipeline status. The page uses interactive filters and a responsive layout that adapts to the available screen width.</w:t>
      </w:r>
    </w:p>
    <w:p>
      <w:pPr>
        <w:spacing w:after="40"/>
      </w:pPr>
    </w:p>
    <w:p>
      <w:r>
        <w:drawing>
          <wp:inline xmlns:a="http://schemas.openxmlformats.org/drawingml/2006/main" xmlns:pic="http://schemas.openxmlformats.org/drawingml/2006/picture">
            <wp:extent cx="5943600" cy="3440831"/>
            <wp:docPr id="7" name="Picture 7"/>
            <wp:cNvGraphicFramePr>
              <a:graphicFrameLocks noChangeAspect="1"/>
            </wp:cNvGraphicFramePr>
            <a:graphic>
              <a:graphicData uri="http://schemas.openxmlformats.org/drawingml/2006/picture">
                <pic:pic>
                  <pic:nvPicPr>
                    <pic:cNvPr id="0" name="fig_executive_dashboard.png"/>
                    <pic:cNvPicPr/>
                  </pic:nvPicPr>
                  <pic:blipFill>
                    <a:blip r:embed="rId13"/>
                    <a:stretch>
                      <a:fillRect/>
                    </a:stretch>
                  </pic:blipFill>
                  <pic:spPr>
                    <a:xfrm>
                      <a:off x="0" y="0"/>
                      <a:ext cx="5943600" cy="3440831"/>
                    </a:xfrm>
                    <a:prstGeom prst="rect"/>
                  </pic:spPr>
                </pic:pic>
              </a:graphicData>
            </a:graphic>
          </wp:inline>
        </w:drawing>
      </w:r>
    </w:p>
    <w:p>
      <w:pPr>
        <w:spacing w:before="0" w:after="160" w:line="264" w:lineRule="auto"/>
        <w:jc w:val="center"/>
      </w:pPr>
      <w:r>
        <w:rPr>
          <w:rFonts w:ascii="Calibri" w:hAnsi="Calibri"/>
          <w:b w:val="0"/>
          <w:i/>
          <w:color w:val="6B7280"/>
          <w:sz w:val="18"/>
        </w:rPr>
        <w:t xml:space="preserve">Figure 6. Executive Dashboard: KPI cards and revenue trend.</w:t>
      </w:r>
    </w:p>
    <w:p>
      <w:pPr>
        <w:pStyle w:val="Heading2"/>
        <w:keepNext/>
        <w:spacing w:before="200" w:after="120" w:line="240" w:lineRule="auto"/>
      </w:pPr>
      <w:r>
        <w:rPr>
          <w:rFonts w:ascii="Calibri" w:hAnsi="Calibri"/>
          <w:b/>
          <w:i w:val="0"/>
          <w:color w:val="2E74B5"/>
          <w:sz w:val="26"/>
        </w:rPr>
        <w:t>Revenue Intelligence</w:t>
      </w:r>
    </w:p>
    <w:p>
      <w:pPr>
        <w:spacing w:before="0" w:after="120" w:line="264" w:lineRule="auto"/>
      </w:pPr>
      <w:r>
        <w:rPr>
          <w:rFonts w:ascii="Calibri" w:hAnsi="Calibri"/>
          <w:b w:val="0"/>
          <w:i w:val="0"/>
          <w:color w:val="1F2937"/>
          <w:sz w:val="22"/>
        </w:rPr>
        <w:t xml:space="preserve">Revenue Intelligence explains revenue trend and revenue change analysis over time, revenue concentration and revenue drivers by category, category-level revenue distribution, top categories by contribution, and period-over-period analysis for identifying growth or decline.</w:t>
      </w:r>
    </w:p>
    <w:p>
      <w:pPr>
        <w:pStyle w:val="Heading2"/>
        <w:keepNext/>
        <w:spacing w:before="200" w:after="120" w:line="240" w:lineRule="auto"/>
      </w:pPr>
      <w:r>
        <w:rPr>
          <w:rFonts w:ascii="Calibri" w:hAnsi="Calibri"/>
          <w:b/>
          <w:i w:val="0"/>
          <w:color w:val="2E74B5"/>
          <w:sz w:val="26"/>
        </w:rPr>
        <w:t>Customer Intelligence</w:t>
      </w:r>
    </w:p>
    <w:p>
      <w:pPr>
        <w:spacing w:before="0" w:after="120" w:line="264" w:lineRule="auto"/>
      </w:pPr>
      <w:r>
        <w:rPr>
          <w:rFonts w:ascii="Calibri" w:hAnsi="Calibri"/>
          <w:b w:val="0"/>
          <w:i w:val="0"/>
          <w:color w:val="1F2937"/>
          <w:sz w:val="22"/>
        </w:rPr>
        <w:t xml:space="preserve">Customer Intelligence explains the customer funnel and journey visualization from acquisition through purchase, retention and drop-off analysis at each funnel stage, customer segmentation by value and behavior, and a customer overview summarizing the active customer base.</w:t>
      </w:r>
    </w:p>
    <w:p>
      <w:pPr>
        <w:pStyle w:val="Heading2"/>
        <w:keepNext/>
        <w:spacing w:before="200" w:after="120" w:line="240" w:lineRule="auto"/>
      </w:pPr>
      <w:r>
        <w:rPr>
          <w:rFonts w:ascii="Calibri" w:hAnsi="Calibri"/>
          <w:b/>
          <w:i w:val="0"/>
          <w:color w:val="2E74B5"/>
          <w:sz w:val="26"/>
        </w:rPr>
        <w:t>Seller Intelligence</w:t>
      </w:r>
    </w:p>
    <w:p>
      <w:pPr>
        <w:spacing w:before="0" w:after="120" w:line="264" w:lineRule="auto"/>
      </w:pPr>
      <w:r>
        <w:rPr>
          <w:rFonts w:ascii="Calibri" w:hAnsi="Calibri"/>
          <w:b w:val="0"/>
          <w:i w:val="0"/>
          <w:color w:val="1F2937"/>
          <w:sz w:val="22"/>
        </w:rPr>
        <w:t xml:space="preserve">Seller Intelligence explains the seller leaderboard ranked by revenue contribution, seller clustering by performance tier, revenue contribution by seller, seller distribution across the marketplace, and detailed seller performance analysis.</w:t>
      </w:r>
    </w:p>
    <w:p>
      <w:pPr>
        <w:pStyle w:val="Heading2"/>
        <w:keepNext/>
        <w:spacing w:before="200" w:after="120" w:line="240" w:lineRule="auto"/>
      </w:pPr>
      <w:r>
        <w:rPr>
          <w:rFonts w:ascii="Calibri" w:hAnsi="Calibri"/>
          <w:b/>
          <w:i w:val="0"/>
          <w:color w:val="2E74B5"/>
          <w:sz w:val="26"/>
        </w:rPr>
        <w:t>Category Intelligence</w:t>
      </w:r>
    </w:p>
    <w:p>
      <w:pPr>
        <w:spacing w:before="0" w:after="120" w:line="264" w:lineRule="auto"/>
      </w:pPr>
      <w:r>
        <w:rPr>
          <w:rFonts w:ascii="Calibri" w:hAnsi="Calibri"/>
          <w:b w:val="0"/>
          <w:i w:val="0"/>
          <w:color w:val="1F2937"/>
          <w:sz w:val="22"/>
        </w:rPr>
        <w:t xml:space="preserve">Category Intelligence explains category performance and a category treemap for visualizing relative scale, revenue concentration through a Pareto view, category rankings, and product contribution within each category.</w:t>
      </w:r>
    </w:p>
    <w:p>
      <w:pPr>
        <w:spacing w:after="40"/>
      </w:pPr>
    </w:p>
    <w:p>
      <w:r>
        <w:drawing>
          <wp:inline xmlns:a="http://schemas.openxmlformats.org/drawingml/2006/main" xmlns:pic="http://schemas.openxmlformats.org/drawingml/2006/picture">
            <wp:extent cx="5943600" cy="3970034"/>
            <wp:docPr id="8" name="Picture 8"/>
            <wp:cNvGraphicFramePr>
              <a:graphicFrameLocks noChangeAspect="1"/>
            </wp:cNvGraphicFramePr>
            <a:graphic>
              <a:graphicData uri="http://schemas.openxmlformats.org/drawingml/2006/picture">
                <pic:pic>
                  <pic:nvPicPr>
                    <pic:cNvPr id="0" name="fig_category_ranking.png"/>
                    <pic:cNvPicPr/>
                  </pic:nvPicPr>
                  <pic:blipFill>
                    <a:blip r:embed="rId14"/>
                    <a:stretch>
                      <a:fillRect/>
                    </a:stretch>
                  </pic:blipFill>
                  <pic:spPr>
                    <a:xfrm>
                      <a:off x="0" y="0"/>
                      <a:ext cx="5943600" cy="3970034"/>
                    </a:xfrm>
                    <a:prstGeom prst="rect"/>
                  </pic:spPr>
                </pic:pic>
              </a:graphicData>
            </a:graphic>
          </wp:inline>
        </w:drawing>
      </w:r>
    </w:p>
    <w:p>
      <w:pPr>
        <w:spacing w:before="0" w:after="160" w:line="264" w:lineRule="auto"/>
        <w:jc w:val="center"/>
      </w:pPr>
      <w:r>
        <w:rPr>
          <w:rFonts w:ascii="Calibri" w:hAnsi="Calibri"/>
          <w:b w:val="0"/>
          <w:i/>
          <w:color w:val="6B7280"/>
          <w:sz w:val="18"/>
        </w:rPr>
        <w:t xml:space="preserve">Figure 7. Category Intelligence: top category revenue ranking and Pareto concentration.</w:t>
      </w:r>
    </w:p>
    <w:p>
      <w:pPr>
        <w:spacing w:after="40"/>
      </w:pPr>
    </w:p>
    <w:p>
      <w:r>
        <w:drawing>
          <wp:inline xmlns:a="http://schemas.openxmlformats.org/drawingml/2006/main" xmlns:pic="http://schemas.openxmlformats.org/drawingml/2006/picture">
            <wp:extent cx="5943600" cy="3297451"/>
            <wp:docPr id="9" name="Picture 9"/>
            <wp:cNvGraphicFramePr>
              <a:graphicFrameLocks noChangeAspect="1"/>
            </wp:cNvGraphicFramePr>
            <a:graphic>
              <a:graphicData uri="http://schemas.openxmlformats.org/drawingml/2006/picture">
                <pic:pic>
                  <pic:nvPicPr>
                    <pic:cNvPr id="0" name="fig_category_momentum.png"/>
                    <pic:cNvPicPr/>
                  </pic:nvPicPr>
                  <pic:blipFill>
                    <a:blip r:embed="rId15"/>
                    <a:stretch>
                      <a:fillRect/>
                    </a:stretch>
                  </pic:blipFill>
                  <pic:spPr>
                    <a:xfrm>
                      <a:off x="0" y="0"/>
                      <a:ext cx="5943600" cy="3297451"/>
                    </a:xfrm>
                    <a:prstGeom prst="rect"/>
                  </pic:spPr>
                </pic:pic>
              </a:graphicData>
            </a:graphic>
          </wp:inline>
        </w:drawing>
      </w:r>
    </w:p>
    <w:p>
      <w:pPr>
        <w:spacing w:before="0" w:after="160" w:line="264" w:lineRule="auto"/>
        <w:jc w:val="center"/>
      </w:pPr>
      <w:r>
        <w:rPr>
          <w:rFonts w:ascii="Calibri" w:hAnsi="Calibri"/>
          <w:b w:val="0"/>
          <w:i/>
          <w:color w:val="6B7280"/>
          <w:sz w:val="18"/>
        </w:rPr>
        <w:t xml:space="preserve">Figure 8. Category Intelligence: category momentum and lifecycle comparison.</w:t>
      </w:r>
    </w:p>
    <w:p>
      <w:pPr>
        <w:pStyle w:val="Heading2"/>
        <w:keepNext/>
        <w:spacing w:before="200" w:after="120" w:line="240" w:lineRule="auto"/>
      </w:pPr>
      <w:r>
        <w:rPr>
          <w:rFonts w:ascii="Calibri" w:hAnsi="Calibri"/>
          <w:b/>
          <w:i w:val="0"/>
          <w:color w:val="2E74B5"/>
          <w:sz w:val="26"/>
        </w:rPr>
        <w:t>Geographic Intelligence</w:t>
      </w:r>
    </w:p>
    <w:p>
      <w:pPr>
        <w:spacing w:before="0" w:after="120" w:line="264" w:lineRule="auto"/>
      </w:pPr>
      <w:r>
        <w:rPr>
          <w:rFonts w:ascii="Calibri" w:hAnsi="Calibri"/>
          <w:b w:val="0"/>
          <w:i w:val="0"/>
          <w:color w:val="1F2937"/>
          <w:sz w:val="22"/>
        </w:rPr>
        <w:t xml:space="preserve">Geographic Intelligence explains the regional opportunity map, revenue by state, regional analysis, geographical insights into customer and seller distribution, and opportunity visualization for underserved regions.</w:t>
      </w:r>
    </w:p>
    <w:p>
      <w:pPr>
        <w:pStyle w:val="Heading2"/>
        <w:keepNext/>
        <w:spacing w:before="200" w:after="120" w:line="240" w:lineRule="auto"/>
      </w:pPr>
      <w:r>
        <w:rPr>
          <w:rFonts w:ascii="Calibri" w:hAnsi="Calibri"/>
          <w:b/>
          <w:i w:val="0"/>
          <w:color w:val="2E74B5"/>
          <w:sz w:val="26"/>
        </w:rPr>
        <w:t>Data Quality Center</w:t>
      </w:r>
    </w:p>
    <w:p>
      <w:pPr>
        <w:spacing w:before="0" w:after="120" w:line="264" w:lineRule="auto"/>
      </w:pPr>
      <w:r>
        <w:rPr>
          <w:rFonts w:ascii="Calibri" w:hAnsi="Calibri"/>
          <w:b w:val="0"/>
          <w:i w:val="0"/>
          <w:color w:val="1F2937"/>
          <w:sz w:val="22"/>
        </w:rPr>
        <w:t xml:space="preserve">The Data Quality Center surfaces the complete Great Expectations posture: validation success rate, passed and failed expectation counts, total coverage, expectation families, audit status, a validation history trend, warehouse health, and observability signals for the most recent execution.</w:t>
      </w:r>
    </w:p>
    <w:p>
      <w:pPr>
        <w:spacing w:after="40"/>
      </w:pPr>
    </w:p>
    <w:p>
      <w:r>
        <w:drawing>
          <wp:inline xmlns:a="http://schemas.openxmlformats.org/drawingml/2006/main" xmlns:pic="http://schemas.openxmlformats.org/drawingml/2006/picture">
            <wp:extent cx="5943600" cy="3813371"/>
            <wp:docPr id="10" name="Picture 10"/>
            <wp:cNvGraphicFramePr>
              <a:graphicFrameLocks noChangeAspect="1"/>
            </wp:cNvGraphicFramePr>
            <a:graphic>
              <a:graphicData uri="http://schemas.openxmlformats.org/drawingml/2006/picture">
                <pic:pic>
                  <pic:nvPicPr>
                    <pic:cNvPr id="0" name="fig_data_quality_center.png"/>
                    <pic:cNvPicPr/>
                  </pic:nvPicPr>
                  <pic:blipFill>
                    <a:blip r:embed="rId16"/>
                    <a:stretch>
                      <a:fillRect/>
                    </a:stretch>
                  </pic:blipFill>
                  <pic:spPr>
                    <a:xfrm>
                      <a:off x="0" y="0"/>
                      <a:ext cx="5943600" cy="3813371"/>
                    </a:xfrm>
                    <a:prstGeom prst="rect"/>
                  </pic:spPr>
                </pic:pic>
              </a:graphicData>
            </a:graphic>
          </wp:inline>
        </w:drawing>
      </w:r>
    </w:p>
    <w:p>
      <w:pPr>
        <w:spacing w:before="0" w:after="160" w:line="264" w:lineRule="auto"/>
        <w:jc w:val="center"/>
      </w:pPr>
      <w:r>
        <w:rPr>
          <w:rFonts w:ascii="Calibri" w:hAnsi="Calibri"/>
          <w:b w:val="0"/>
          <w:i/>
          <w:color w:val="6B7280"/>
          <w:sz w:val="18"/>
        </w:rPr>
        <w:t xml:space="preserve">Figure 9. Data Quality Center: validation health trend and failure distribution.</w:t>
      </w:r>
    </w:p>
    <w:p>
      <w:pPr>
        <w:pStyle w:val="Heading2"/>
        <w:keepNext/>
        <w:spacing w:before="200" w:after="120" w:line="240" w:lineRule="auto"/>
      </w:pPr>
      <w:r>
        <w:rPr>
          <w:rFonts w:ascii="Calibri" w:hAnsi="Calibri"/>
          <w:b/>
          <w:i w:val="0"/>
          <w:color w:val="2E74B5"/>
          <w:sz w:val="26"/>
        </w:rPr>
        <w:t>Dataset Explorer</w:t>
      </w:r>
    </w:p>
    <w:p>
      <w:pPr>
        <w:spacing w:before="0" w:after="120" w:line="264" w:lineRule="auto"/>
      </w:pPr>
      <w:r>
        <w:rPr>
          <w:rFonts w:ascii="Calibri" w:hAnsi="Calibri"/>
          <w:b w:val="0"/>
          <w:i w:val="0"/>
          <w:color w:val="1F2937"/>
          <w:sz w:val="22"/>
        </w:rPr>
        <w:t xml:space="preserve">The Dataset Explorer walks the warehouse lineage from Bronze through Silver and Gold to the business transformations that make each layer ready for consumption. Each table card exposes row counts and a table detail panel describing the purpose of the table, supporting full table exploration and lineage tracing.</w:t>
      </w:r>
    </w:p>
    <w:p>
      <w:pPr>
        <w:spacing w:after="40"/>
      </w:pPr>
    </w:p>
    <w:p>
      <w:r>
        <w:drawing>
          <wp:inline xmlns:a="http://schemas.openxmlformats.org/drawingml/2006/main" xmlns:pic="http://schemas.openxmlformats.org/drawingml/2006/picture">
            <wp:extent cx="5943600" cy="4037933"/>
            <wp:docPr id="11" name="Picture 11"/>
            <wp:cNvGraphicFramePr>
              <a:graphicFrameLocks noChangeAspect="1"/>
            </wp:cNvGraphicFramePr>
            <a:graphic>
              <a:graphicData uri="http://schemas.openxmlformats.org/drawingml/2006/picture">
                <pic:pic>
                  <pic:nvPicPr>
                    <pic:cNvPr id="0" name="fig_dataset_explorer.png"/>
                    <pic:cNvPicPr/>
                  </pic:nvPicPr>
                  <pic:blipFill>
                    <a:blip r:embed="rId18"/>
                    <a:stretch>
                      <a:fillRect/>
                    </a:stretch>
                  </pic:blipFill>
                  <pic:spPr>
                    <a:xfrm>
                      <a:off x="0" y="0"/>
                      <a:ext cx="5943600" cy="4037933"/>
                    </a:xfrm>
                    <a:prstGeom prst="rect"/>
                  </pic:spPr>
                </pic:pic>
              </a:graphicData>
            </a:graphic>
          </wp:inline>
        </w:drawing>
      </w:r>
    </w:p>
    <w:p>
      <w:pPr>
        <w:spacing w:before="0" w:after="160" w:line="264" w:lineRule="auto"/>
        <w:jc w:val="center"/>
      </w:pPr>
      <w:r>
        <w:rPr>
          <w:rFonts w:ascii="Calibri" w:hAnsi="Calibri"/>
          <w:b w:val="0"/>
          <w:i/>
          <w:color w:val="6B7280"/>
          <w:sz w:val="18"/>
        </w:rPr>
        <w:t xml:space="preserve">Figure 10. Dataset Explorer: Bronze, Silver, Gold, and Business Transformations.</w:t>
      </w:r>
    </w:p>
    <w:p>
      <w:pPr>
        <w:pStyle w:val="Heading2"/>
        <w:keepNext/>
        <w:spacing w:before="200" w:after="120" w:line="240" w:lineRule="auto"/>
      </w:pPr>
      <w:r>
        <w:rPr>
          <w:rFonts w:ascii="Calibri" w:hAnsi="Calibri"/>
          <w:b/>
          <w:i w:val="0"/>
          <w:color w:val="2E74B5"/>
          <w:sz w:val="26"/>
        </w:rPr>
        <w:t>Pipeline Health</w:t>
      </w:r>
    </w:p>
    <w:p>
      <w:pPr>
        <w:spacing w:before="0" w:after="120" w:line="264" w:lineRule="auto"/>
      </w:pPr>
      <w:r>
        <w:rPr>
          <w:rFonts w:ascii="Calibri" w:hAnsi="Calibri"/>
          <w:b w:val="0"/>
          <w:i w:val="0"/>
          <w:color w:val="1F2937"/>
          <w:sz w:val="22"/>
        </w:rPr>
        <w:t xml:space="preserve">Pipeline Health explains batch execution, pipeline monitoring, execution history, operational metrics, and warehouse status. It renders a pipeline execution timeline per stage and a DAG monitoring view reflecting the current warehouse dependency sequence and latest validation signal.</w:t>
      </w:r>
    </w:p>
    <w:p>
      <w:pPr>
        <w:spacing w:after="40"/>
      </w:pPr>
    </w:p>
    <w:p>
      <w:r>
        <w:drawing>
          <wp:inline xmlns:a="http://schemas.openxmlformats.org/drawingml/2006/main" xmlns:pic="http://schemas.openxmlformats.org/drawingml/2006/picture">
            <wp:extent cx="5943600" cy="3718540"/>
            <wp:docPr id="12" name="Picture 12"/>
            <wp:cNvGraphicFramePr>
              <a:graphicFrameLocks noChangeAspect="1"/>
            </wp:cNvGraphicFramePr>
            <a:graphic>
              <a:graphicData uri="http://schemas.openxmlformats.org/drawingml/2006/picture">
                <pic:pic>
                  <pic:nvPicPr>
                    <pic:cNvPr id="0" name="fig_pipeline_health.png"/>
                    <pic:cNvPicPr/>
                  </pic:nvPicPr>
                  <pic:blipFill>
                    <a:blip r:embed="rId17"/>
                    <a:stretch>
                      <a:fillRect/>
                    </a:stretch>
                  </pic:blipFill>
                  <pic:spPr>
                    <a:xfrm>
                      <a:off x="0" y="0"/>
                      <a:ext cx="5943600" cy="3718540"/>
                    </a:xfrm>
                    <a:prstGeom prst="rect"/>
                  </pic:spPr>
                </pic:pic>
              </a:graphicData>
            </a:graphic>
          </wp:inline>
        </w:drawing>
      </w:r>
    </w:p>
    <w:p>
      <w:pPr>
        <w:spacing w:before="0" w:after="160" w:line="264" w:lineRule="auto"/>
        <w:jc w:val="center"/>
      </w:pPr>
      <w:r>
        <w:rPr>
          <w:rFonts w:ascii="Calibri" w:hAnsi="Calibri"/>
          <w:b w:val="0"/>
          <w:i/>
          <w:color w:val="6B7280"/>
          <w:sz w:val="18"/>
        </w:rPr>
        <w:t xml:space="preserve">Figure 11. Pipeline Health: execution timeline and DAG monitoring view.</w:t>
      </w:r>
    </w:p>
    <w:p>
      <w:pPr>
        <w:pStyle w:val="Heading2"/>
        <w:keepNext/>
        <w:spacing w:before="200" w:after="120" w:line="240" w:lineRule="auto"/>
      </w:pPr>
      <w:r>
        <w:rPr>
          <w:rFonts w:ascii="Calibri" w:hAnsi="Calibri"/>
          <w:b/>
          <w:i w:val="0"/>
          <w:color w:val="2E74B5"/>
          <w:sz w:val="26"/>
        </w:rPr>
        <w:t>Responsive Dashboard</w:t>
      </w:r>
    </w:p>
    <w:p>
      <w:pPr>
        <w:spacing w:before="0" w:after="120" w:line="264" w:lineRule="auto"/>
      </w:pPr>
      <w:r>
        <w:rPr>
          <w:rFonts w:ascii="Calibri" w:hAnsi="Calibri"/>
          <w:b w:val="0"/>
          <w:i w:val="0"/>
          <w:color w:val="1F2937"/>
          <w:sz w:val="22"/>
        </w:rPr>
        <w:t xml:space="preserve">The dashboard is now fully responsive. Layouts are documented and tested for desktop, tablet, and mobile breakpoints, with adaptive chart resizing and responsive visual components that reflow KPI cards, tables, and charts to fit the available viewport without loss of information.</w:t>
      </w:r>
    </w:p>
    <w:p>
      <w:pPr>
        <w:pStyle w:val="Heading1"/>
        <w:keepNext/>
        <w:spacing w:before="320" w:after="120" w:line="240" w:lineRule="auto"/>
      </w:pPr>
      <w:r>
        <w:rPr>
          <w:rFonts w:ascii="Calibri" w:hAnsi="Calibri"/>
          <w:b/>
          <w:i w:val="0"/>
          <w:color w:val="2E74B5"/>
          <w:sz w:val="32"/>
        </w:rPr>
        <w:t>12. FastAPI Backend</w:t>
      </w:r>
    </w:p>
    <w:p>
      <w:pPr>
        <w:spacing w:before="0" w:after="120" w:line="264" w:lineRule="auto"/>
      </w:pPr>
      <w:r>
        <w:rPr>
          <w:rFonts w:ascii="Calibri" w:hAnsi="Calibri"/>
          <w:b w:val="0"/>
          <w:i w:val="0"/>
          <w:color w:val="1F2937"/>
          <w:sz w:val="22"/>
        </w:rPr>
        <w:t xml:space="preserve">The FastAPI backend has been expanded well beyond the original overview, pipeline, quality, medallion, analytics, and SCD endpoints. It now groups routes into REST APIs, Analytics APIs, Quality APIs, Pipeline APIs, SCD APIs, and Dashboard APIs, all returning a consistent data/meta response envelope that React Query consumes for caching, loading, empty, and error states.</w:t>
      </w:r>
    </w:p>
    <w:tbl>
      <w:tblPr>
        <w:tblStyle w:val="TableGrid"/>
        <w:tblW w:type="auto" w:w="0"/>
        <w:tblLayout w:type="fixed"/>
        <w:tblLook w:firstColumn="1" w:firstRow="1" w:lastColumn="0" w:lastRow="0" w:noHBand="0" w:noVBand="1" w:val="04A0"/>
      </w:tblPr>
      <w:tblGrid>
        <w:gridCol w:w="2880"/>
        <w:gridCol w:w="6480"/>
      </w:tblGrid>
      <w:tr>
        <w:trPr>
          <w:tblHeader w:val="true"/>
        </w:trPr>
        <w:tc>
          <w:tcPr>
            <w:tcW w:type="dxa" w:w="2880"/>
            <w:shd w:fill="E8EEF5"/>
            <w:vAlign w:val="center"/>
          </w:tcPr>
          <w:p>
            <w:pPr>
              <w:spacing w:before="0" w:after="0" w:line="264" w:lineRule="auto"/>
            </w:pPr>
            <w:r>
              <w:rPr>
                <w:rFonts w:ascii="Calibri" w:hAnsi="Calibri"/>
                <w:b/>
                <w:i w:val="0"/>
                <w:color w:val="1F4D78"/>
                <w:sz w:val="20"/>
              </w:rPr>
              <w:t xml:space="preserve">API group</w:t>
            </w:r>
          </w:p>
        </w:tc>
        <w:tc>
          <w:tcPr>
            <w:tcW w:type="dxa" w:w="6480"/>
            <w:shd w:fill="E8EEF5"/>
            <w:vAlign w:val="center"/>
          </w:tcPr>
          <w:p>
            <w:pPr>
              <w:spacing w:before="0" w:after="0" w:line="264" w:lineRule="auto"/>
            </w:pPr>
            <w:r>
              <w:rPr>
                <w:rFonts w:ascii="Calibri" w:hAnsi="Calibri"/>
                <w:b/>
                <w:i w:val="0"/>
                <w:color w:val="1F4D78"/>
                <w:sz w:val="20"/>
              </w:rPr>
              <w:t xml:space="preserve">Representative responsibility</w:t>
            </w:r>
          </w:p>
        </w:tc>
      </w:tr>
      <w:tr>
        <w:tc>
          <w:tcPr>
            <w:tcW w:type="dxa" w:w="2880"/>
            <w:vAlign w:val="center"/>
          </w:tcPr>
          <w:p>
            <w:pPr>
              <w:spacing w:before="0" w:after="0" w:line="252" w:lineRule="auto"/>
            </w:pPr>
            <w:r>
              <w:rPr>
                <w:rFonts w:ascii="Calibri" w:hAnsi="Calibri"/>
                <w:b w:val="0"/>
                <w:i w:val="0"/>
                <w:color w:val="1F2937"/>
                <w:sz w:val="19"/>
              </w:rPr>
              <w:t xml:space="preserve">REST APIs</w:t>
            </w:r>
          </w:p>
        </w:tc>
        <w:tc>
          <w:tcPr>
            <w:tcW w:type="dxa" w:w="6480"/>
            <w:vAlign w:val="center"/>
          </w:tcPr>
          <w:p>
            <w:pPr>
              <w:spacing w:before="0" w:after="0" w:line="252" w:lineRule="auto"/>
            </w:pPr>
            <w:r>
              <w:rPr>
                <w:rFonts w:ascii="Calibri" w:hAnsi="Calibri"/>
                <w:b w:val="0"/>
                <w:i w:val="0"/>
                <w:color w:val="1F2937"/>
                <w:sz w:val="19"/>
              </w:rPr>
              <w:t xml:space="preserve">Overview and medallion endpoints describing warehouse structure and totals.</w:t>
            </w:r>
          </w:p>
        </w:tc>
      </w:tr>
      <w:tr>
        <w:tc>
          <w:tcPr>
            <w:tcW w:type="dxa" w:w="2880"/>
            <w:vAlign w:val="center"/>
          </w:tcPr>
          <w:p>
            <w:pPr>
              <w:spacing w:before="0" w:after="0" w:line="252" w:lineRule="auto"/>
            </w:pPr>
            <w:r>
              <w:rPr>
                <w:rFonts w:ascii="Calibri" w:hAnsi="Calibri"/>
                <w:b w:val="0"/>
                <w:i w:val="0"/>
                <w:color w:val="1F2937"/>
                <w:sz w:val="19"/>
              </w:rPr>
              <w:t xml:space="preserve">Analytics APIs</w:t>
            </w:r>
          </w:p>
        </w:tc>
        <w:tc>
          <w:tcPr>
            <w:tcW w:type="dxa" w:w="6480"/>
            <w:vAlign w:val="center"/>
          </w:tcPr>
          <w:p>
            <w:pPr>
              <w:spacing w:before="0" w:after="0" w:line="252" w:lineRule="auto"/>
            </w:pPr>
            <w:r>
              <w:rPr>
                <w:rFonts w:ascii="Calibri" w:hAnsi="Calibri"/>
                <w:b w:val="0"/>
                <w:i w:val="0"/>
                <w:color w:val="1F2937"/>
                <w:sz w:val="19"/>
              </w:rPr>
              <w:t xml:space="preserve">Revenue trend, top categories, seller performance, payment distribution, and customer funnel endpoints.</w:t>
            </w:r>
          </w:p>
        </w:tc>
      </w:tr>
      <w:tr>
        <w:tc>
          <w:tcPr>
            <w:tcW w:type="dxa" w:w="2880"/>
            <w:vAlign w:val="center"/>
          </w:tcPr>
          <w:p>
            <w:pPr>
              <w:spacing w:before="0" w:after="0" w:line="252" w:lineRule="auto"/>
            </w:pPr>
            <w:r>
              <w:rPr>
                <w:rFonts w:ascii="Calibri" w:hAnsi="Calibri"/>
                <w:b w:val="0"/>
                <w:i w:val="0"/>
                <w:color w:val="1F2937"/>
                <w:sz w:val="19"/>
              </w:rPr>
              <w:t xml:space="preserve">Quality APIs</w:t>
            </w:r>
          </w:p>
        </w:tc>
        <w:tc>
          <w:tcPr>
            <w:tcW w:type="dxa" w:w="6480"/>
            <w:vAlign w:val="center"/>
          </w:tcPr>
          <w:p>
            <w:pPr>
              <w:spacing w:before="0" w:after="0" w:line="252" w:lineRule="auto"/>
            </w:pPr>
            <w:r>
              <w:rPr>
                <w:rFonts w:ascii="Calibri" w:hAnsi="Calibri"/>
                <w:b w:val="0"/>
                <w:i w:val="0"/>
                <w:color w:val="1F2937"/>
                <w:sz w:val="19"/>
              </w:rPr>
              <w:t xml:space="preserve">Great Expectations quality score, validation history, and expectation results.</w:t>
            </w:r>
          </w:p>
        </w:tc>
      </w:tr>
      <w:tr>
        <w:tc>
          <w:tcPr>
            <w:tcW w:type="dxa" w:w="2880"/>
            <w:vAlign w:val="center"/>
          </w:tcPr>
          <w:p>
            <w:pPr>
              <w:spacing w:before="0" w:after="0" w:line="252" w:lineRule="auto"/>
            </w:pPr>
            <w:r>
              <w:rPr>
                <w:rFonts w:ascii="Calibri" w:hAnsi="Calibri"/>
                <w:b w:val="0"/>
                <w:i w:val="0"/>
                <w:color w:val="1F2937"/>
                <w:sz w:val="19"/>
              </w:rPr>
              <w:t xml:space="preserve">Pipeline APIs</w:t>
            </w:r>
          </w:p>
        </w:tc>
        <w:tc>
          <w:tcPr>
            <w:tcW w:type="dxa" w:w="6480"/>
            <w:vAlign w:val="center"/>
          </w:tcPr>
          <w:p>
            <w:pPr>
              <w:spacing w:before="0" w:after="0" w:line="252" w:lineRule="auto"/>
            </w:pPr>
            <w:r>
              <w:rPr>
                <w:rFonts w:ascii="Calibri" w:hAnsi="Calibri"/>
                <w:b w:val="0"/>
                <w:i w:val="0"/>
                <w:color w:val="1F2937"/>
                <w:sz w:val="19"/>
              </w:rPr>
              <w:t xml:space="preserve">Batch status, execution timeline, and DAG monitoring signals.</w:t>
            </w:r>
          </w:p>
        </w:tc>
      </w:tr>
      <w:tr>
        <w:tc>
          <w:tcPr>
            <w:tcW w:type="dxa" w:w="2880"/>
            <w:vAlign w:val="center"/>
          </w:tcPr>
          <w:p>
            <w:pPr>
              <w:spacing w:before="0" w:after="0" w:line="252" w:lineRule="auto"/>
            </w:pPr>
            <w:r>
              <w:rPr>
                <w:rFonts w:ascii="Calibri" w:hAnsi="Calibri"/>
                <w:b w:val="0"/>
                <w:i w:val="0"/>
                <w:color w:val="1F2937"/>
                <w:sz w:val="19"/>
              </w:rPr>
              <w:t xml:space="preserve">SCD APIs</w:t>
            </w:r>
          </w:p>
        </w:tc>
        <w:tc>
          <w:tcPr>
            <w:tcW w:type="dxa" w:w="6480"/>
            <w:vAlign w:val="center"/>
          </w:tcPr>
          <w:p>
            <w:pPr>
              <w:spacing w:before="0" w:after="0" w:line="252" w:lineRule="auto"/>
            </w:pPr>
            <w:r>
              <w:rPr>
                <w:rFonts w:ascii="Calibri" w:hAnsi="Calibri"/>
                <w:b w:val="0"/>
                <w:i w:val="0"/>
                <w:color w:val="1F2937"/>
                <w:sz w:val="19"/>
              </w:rPr>
              <w:t xml:space="preserve">Customer SCD summary and per-customer history.</w:t>
            </w:r>
          </w:p>
        </w:tc>
      </w:tr>
      <w:tr>
        <w:tc>
          <w:tcPr>
            <w:tcW w:type="dxa" w:w="2880"/>
            <w:vAlign w:val="center"/>
          </w:tcPr>
          <w:p>
            <w:pPr>
              <w:spacing w:before="0" w:after="0" w:line="252" w:lineRule="auto"/>
            </w:pPr>
            <w:r>
              <w:rPr>
                <w:rFonts w:ascii="Calibri" w:hAnsi="Calibri"/>
                <w:b w:val="0"/>
                <w:i w:val="0"/>
                <w:color w:val="1F2937"/>
                <w:sz w:val="19"/>
              </w:rPr>
              <w:t xml:space="preserve">Dashboard APIs</w:t>
            </w:r>
          </w:p>
        </w:tc>
        <w:tc>
          <w:tcPr>
            <w:tcW w:type="dxa" w:w="6480"/>
            <w:vAlign w:val="center"/>
          </w:tcPr>
          <w:p>
            <w:pPr>
              <w:spacing w:before="0" w:after="0" w:line="252" w:lineRule="auto"/>
            </w:pPr>
            <w:r>
              <w:rPr>
                <w:rFonts w:ascii="Calibri" w:hAnsi="Calibri"/>
                <w:b w:val="0"/>
                <w:i w:val="0"/>
                <w:color w:val="1F2937"/>
                <w:sz w:val="19"/>
              </w:rPr>
              <w:t xml:space="preserve">Aggregated endpoints tailored to each Business Intelligence dashboard page.</w:t>
            </w:r>
          </w:p>
        </w:tc>
      </w:tr>
    </w:tbl>
    <w:p>
      <w:pPr>
        <w:spacing w:after="40"/>
      </w:pPr>
    </w:p>
    <w:p>
      <w:pPr>
        <w:spacing w:before="0" w:after="120" w:line="264" w:lineRule="auto"/>
      </w:pPr>
      <w:r>
        <w:rPr>
          <w:rFonts w:ascii="Calibri" w:hAnsi="Calibri"/>
          <w:b w:val="0"/>
          <w:i w:val="0"/>
          <w:color w:val="1F2937"/>
          <w:sz w:val="22"/>
        </w:rPr>
        <w:t xml:space="preserve">Every endpoint returns the same data/meta envelope shape, which lets the React Query layer apply a single set of hooks across the entire dashboard for caching, background refresh, and consistent loading, empty, and error UI states.</w:t>
      </w:r>
    </w:p>
    <w:p>
      <w:pPr>
        <w:pStyle w:val="Heading1"/>
        <w:keepNext/>
        <w:spacing w:before="320" w:after="120" w:line="240" w:lineRule="auto"/>
      </w:pPr>
      <w:r>
        <w:rPr>
          <w:rFonts w:ascii="Calibri" w:hAnsi="Calibri"/>
          <w:b/>
          <w:i w:val="0"/>
          <w:color w:val="2E74B5"/>
          <w:sz w:val="32"/>
        </w:rPr>
        <w:t>13. Great Expectations Framework</w:t>
      </w:r>
    </w:p>
    <w:p>
      <w:pPr>
        <w:spacing w:before="0" w:after="120" w:line="264" w:lineRule="auto"/>
      </w:pPr>
      <w:r>
        <w:rPr>
          <w:rFonts w:ascii="Calibri" w:hAnsi="Calibri"/>
          <w:b w:val="0"/>
          <w:i w:val="0"/>
          <w:color w:val="1F2937"/>
          <w:sz w:val="22"/>
        </w:rPr>
        <w:t xml:space="preserve">Great Expectations was chosen over ad hoc validation scripts because it provides declarative, versioned expectation suites, structured result objects, and a repeatable execution model that persists history rather than only printing pass/fail output to a console.</w:t>
      </w:r>
    </w:p>
    <w:p>
      <w:pPr>
        <w:pStyle w:val="ListBullet"/>
        <w:spacing w:before="0" w:after="60" w:line="264" w:lineRule="auto"/>
      </w:pPr>
      <w:r>
        <w:rPr>
          <w:rFonts w:ascii="Calibri" w:hAnsi="Calibri"/>
          <w:b w:val="0"/>
          <w:i w:val="0"/>
          <w:color w:val="1F2937"/>
          <w:sz w:val="22"/>
        </w:rPr>
        <w:t xml:space="preserve">Validation suites define expectations per warehouse table, covering nulls, uniqueness, referential integrity, volume, and positive-value ranges.</w:t>
      </w:r>
    </w:p>
    <w:p>
      <w:pPr>
        <w:pStyle w:val="ListBullet"/>
        <w:spacing w:before="0" w:after="60" w:line="264" w:lineRule="auto"/>
      </w:pPr>
      <w:r>
        <w:rPr>
          <w:rFonts w:ascii="Calibri" w:hAnsi="Calibri"/>
          <w:b w:val="0"/>
          <w:i w:val="0"/>
          <w:color w:val="1F2937"/>
          <w:sz w:val="22"/>
        </w:rPr>
        <w:t xml:space="preserve">Expectation execution runs the suite against the current warehouse state and produces a structured result for every expectation.</w:t>
      </w:r>
    </w:p>
    <w:p>
      <w:pPr>
        <w:pStyle w:val="ListBullet"/>
        <w:spacing w:before="0" w:after="60" w:line="264" w:lineRule="auto"/>
      </w:pPr>
      <w:r>
        <w:rPr>
          <w:rFonts w:ascii="Calibri" w:hAnsi="Calibri"/>
          <w:b w:val="0"/>
          <w:i w:val="0"/>
          <w:color w:val="1F2937"/>
          <w:sz w:val="22"/>
        </w:rPr>
        <w:t xml:space="preserve">Data quality reporting aggregates expectation results into passed/failed counts, a coverage total, and a quality score.</w:t>
      </w:r>
    </w:p>
    <w:p>
      <w:pPr>
        <w:pStyle w:val="ListBullet"/>
        <w:spacing w:before="0" w:after="60" w:line="264" w:lineRule="auto"/>
      </w:pPr>
      <w:r>
        <w:rPr>
          <w:rFonts w:ascii="Calibri" w:hAnsi="Calibri"/>
          <w:b w:val="0"/>
          <w:i w:val="0"/>
          <w:color w:val="1F2937"/>
          <w:sz w:val="22"/>
        </w:rPr>
        <w:t xml:space="preserve">Integration with the React dashboard renders validation health trend, failure distribution, and expectation family breakdowns on the Data Quality Center page.</w:t>
      </w:r>
    </w:p>
    <w:p>
      <w:pPr>
        <w:pStyle w:val="ListBullet"/>
        <w:spacing w:before="0" w:after="60" w:line="264" w:lineRule="auto"/>
      </w:pPr>
      <w:r>
        <w:rPr>
          <w:rFonts w:ascii="Calibri" w:hAnsi="Calibri"/>
          <w:b w:val="0"/>
          <w:i w:val="0"/>
          <w:color w:val="1F2937"/>
          <w:sz w:val="22"/>
        </w:rPr>
        <w:t xml:space="preserve">Integration with FastAPI exposes the latest and historical validation runs through the Quality APIs.</w:t>
      </w:r>
    </w:p>
    <w:p>
      <w:pPr>
        <w:pStyle w:val="ListBullet"/>
        <w:spacing w:before="0" w:after="60" w:line="264" w:lineRule="auto"/>
      </w:pPr>
      <w:r>
        <w:rPr>
          <w:rFonts w:ascii="Calibri" w:hAnsi="Calibri"/>
          <w:b w:val="0"/>
          <w:i w:val="0"/>
          <w:color w:val="1F2937"/>
          <w:sz w:val="22"/>
        </w:rPr>
        <w:t xml:space="preserve">Quality score generation converts the expectation pass rate for a run into the single score shown across the Executive Dashboard and Data Quality Center.</w:t>
      </w:r>
    </w:p>
    <w:p>
      <w:pPr>
        <w:pStyle w:val="Heading1"/>
        <w:keepNext/>
        <w:spacing w:before="320" w:after="120" w:line="240" w:lineRule="auto"/>
      </w:pPr>
      <w:r>
        <w:rPr>
          <w:rFonts w:ascii="Calibri" w:hAnsi="Calibri"/>
          <w:b/>
          <w:i w:val="0"/>
          <w:color w:val="2E74B5"/>
          <w:sz w:val="32"/>
        </w:rPr>
        <w:t>14. Observability Framework</w:t>
      </w:r>
    </w:p>
    <w:p>
      <w:pPr>
        <w:spacing w:before="0" w:after="120" w:line="264" w:lineRule="auto"/>
      </w:pPr>
      <w:r>
        <w:rPr>
          <w:rFonts w:ascii="Calibri" w:hAnsi="Calibri"/>
          <w:b w:val="0"/>
          <w:i w:val="0"/>
          <w:color w:val="1F2937"/>
          <w:sz w:val="22"/>
        </w:rPr>
        <w:t xml:space="preserve">Observability ties batch control, audit logs, validation results, and pipeline health into a single operational picture of the warehouse, so that data freshness and pipeline behavior are visible without querying the database directly.</w:t>
      </w:r>
    </w:p>
    <w:tbl>
      <w:tblPr>
        <w:tblStyle w:val="TableGrid"/>
        <w:tblW w:type="auto" w:w="0"/>
        <w:tblLayout w:type="fixed"/>
        <w:tblLook w:firstColumn="1" w:firstRow="1" w:lastColumn="0" w:lastRow="0" w:noHBand="0" w:noVBand="1" w:val="04A0"/>
      </w:tblPr>
      <w:tblGrid>
        <w:gridCol w:w="2880"/>
        <w:gridCol w:w="6480"/>
      </w:tblGrid>
      <w:tr>
        <w:trPr>
          <w:tblHeader w:val="true"/>
        </w:trPr>
        <w:tc>
          <w:tcPr>
            <w:tcW w:type="dxa" w:w="2880"/>
            <w:shd w:fill="E8EEF5"/>
            <w:vAlign w:val="center"/>
          </w:tcPr>
          <w:p>
            <w:pPr>
              <w:spacing w:before="0" w:after="0" w:line="264" w:lineRule="auto"/>
            </w:pPr>
            <w:r>
              <w:rPr>
                <w:rFonts w:ascii="Calibri" w:hAnsi="Calibri"/>
                <w:b/>
                <w:i w:val="0"/>
                <w:color w:val="1F4D78"/>
                <w:sz w:val="20"/>
              </w:rPr>
              <w:t xml:space="preserve">Observability signal</w:t>
            </w:r>
          </w:p>
        </w:tc>
        <w:tc>
          <w:tcPr>
            <w:tcW w:type="dxa" w:w="6480"/>
            <w:shd w:fill="E8EEF5"/>
            <w:vAlign w:val="center"/>
          </w:tcPr>
          <w:p>
            <w:pPr>
              <w:spacing w:before="0" w:after="0" w:line="264" w:lineRule="auto"/>
            </w:pPr>
            <w:r>
              <w:rPr>
                <w:rFonts w:ascii="Calibri" w:hAnsi="Calibri"/>
                <w:b/>
                <w:i w:val="0"/>
                <w:color w:val="1F4D78"/>
                <w:sz w:val="20"/>
              </w:rPr>
              <w:t xml:space="preserve">Source</w:t>
            </w:r>
          </w:p>
        </w:tc>
      </w:tr>
      <w:tr>
        <w:tc>
          <w:tcPr>
            <w:tcW w:type="dxa" w:w="2880"/>
            <w:vAlign w:val="center"/>
          </w:tcPr>
          <w:p>
            <w:pPr>
              <w:spacing w:before="0" w:after="0" w:line="252" w:lineRule="auto"/>
            </w:pPr>
            <w:r>
              <w:rPr>
                <w:rFonts w:ascii="Calibri" w:hAnsi="Calibri"/>
                <w:b w:val="0"/>
                <w:i w:val="0"/>
                <w:color w:val="1F2937"/>
                <w:sz w:val="19"/>
              </w:rPr>
              <w:t xml:space="preserve">Batch control</w:t>
            </w:r>
          </w:p>
        </w:tc>
        <w:tc>
          <w:tcPr>
            <w:tcW w:type="dxa" w:w="6480"/>
            <w:vAlign w:val="center"/>
          </w:tcPr>
          <w:p>
            <w:pPr>
              <w:spacing w:before="0" w:after="0" w:line="252" w:lineRule="auto"/>
            </w:pPr>
            <w:r>
              <w:rPr>
                <w:rFonts w:ascii="Calibri" w:hAnsi="Calibri"/>
                <w:b w:val="0"/>
                <w:i w:val="0"/>
                <w:color w:val="1F2937"/>
                <w:sz w:val="19"/>
              </w:rPr>
              <w:t xml:space="preserve">metadata.batch_control status, timing, and processed/rejected record counts.</w:t>
            </w:r>
          </w:p>
        </w:tc>
      </w:tr>
      <w:tr>
        <w:tc>
          <w:tcPr>
            <w:tcW w:type="dxa" w:w="2880"/>
            <w:vAlign w:val="center"/>
          </w:tcPr>
          <w:p>
            <w:pPr>
              <w:spacing w:before="0" w:after="0" w:line="252" w:lineRule="auto"/>
            </w:pPr>
            <w:r>
              <w:rPr>
                <w:rFonts w:ascii="Calibri" w:hAnsi="Calibri"/>
                <w:b w:val="0"/>
                <w:i w:val="0"/>
                <w:color w:val="1F2937"/>
                <w:sz w:val="19"/>
              </w:rPr>
              <w:t xml:space="preserve">Audit logs</w:t>
            </w:r>
          </w:p>
        </w:tc>
        <w:tc>
          <w:tcPr>
            <w:tcW w:type="dxa" w:w="6480"/>
            <w:vAlign w:val="center"/>
          </w:tcPr>
          <w:p>
            <w:pPr>
              <w:spacing w:before="0" w:after="0" w:line="252" w:lineRule="auto"/>
            </w:pPr>
            <w:r>
              <w:rPr>
                <w:rFonts w:ascii="Calibri" w:hAnsi="Calibri"/>
                <w:b w:val="0"/>
                <w:i w:val="0"/>
                <w:color w:val="1F2937"/>
                <w:sz w:val="19"/>
              </w:rPr>
              <w:t xml:space="preserve">Persisted pipeline execution metadata across ingestion, transformation, and validation runs.</w:t>
            </w:r>
          </w:p>
        </w:tc>
      </w:tr>
      <w:tr>
        <w:tc>
          <w:tcPr>
            <w:tcW w:type="dxa" w:w="2880"/>
            <w:vAlign w:val="center"/>
          </w:tcPr>
          <w:p>
            <w:pPr>
              <w:spacing w:before="0" w:after="0" w:line="252" w:lineRule="auto"/>
            </w:pPr>
            <w:r>
              <w:rPr>
                <w:rFonts w:ascii="Calibri" w:hAnsi="Calibri"/>
                <w:b w:val="0"/>
                <w:i w:val="0"/>
                <w:color w:val="1F2937"/>
                <w:sz w:val="19"/>
              </w:rPr>
              <w:t xml:space="preserve">Validation</w:t>
            </w:r>
          </w:p>
        </w:tc>
        <w:tc>
          <w:tcPr>
            <w:tcW w:type="dxa" w:w="6480"/>
            <w:vAlign w:val="center"/>
          </w:tcPr>
          <w:p>
            <w:pPr>
              <w:spacing w:before="0" w:after="0" w:line="252" w:lineRule="auto"/>
            </w:pPr>
            <w:r>
              <w:rPr>
                <w:rFonts w:ascii="Calibri" w:hAnsi="Calibri"/>
                <w:b w:val="0"/>
                <w:i w:val="0"/>
                <w:color w:val="1F2937"/>
                <w:sz w:val="19"/>
              </w:rPr>
              <w:t xml:space="preserve">Great Expectations quality score, expectation results, and validation history.</w:t>
            </w:r>
          </w:p>
        </w:tc>
      </w:tr>
      <w:tr>
        <w:tc>
          <w:tcPr>
            <w:tcW w:type="dxa" w:w="2880"/>
            <w:vAlign w:val="center"/>
          </w:tcPr>
          <w:p>
            <w:pPr>
              <w:spacing w:before="0" w:after="0" w:line="252" w:lineRule="auto"/>
            </w:pPr>
            <w:r>
              <w:rPr>
                <w:rFonts w:ascii="Calibri" w:hAnsi="Calibri"/>
                <w:b w:val="0"/>
                <w:i w:val="0"/>
                <w:color w:val="1F2937"/>
                <w:sz w:val="19"/>
              </w:rPr>
              <w:t xml:space="preserve">Pipeline health</w:t>
            </w:r>
          </w:p>
        </w:tc>
        <w:tc>
          <w:tcPr>
            <w:tcW w:type="dxa" w:w="6480"/>
            <w:vAlign w:val="center"/>
          </w:tcPr>
          <w:p>
            <w:pPr>
              <w:spacing w:before="0" w:after="0" w:line="252" w:lineRule="auto"/>
            </w:pPr>
            <w:r>
              <w:rPr>
                <w:rFonts w:ascii="Calibri" w:hAnsi="Calibri"/>
                <w:b w:val="0"/>
                <w:i w:val="0"/>
                <w:color w:val="1F2937"/>
                <w:sz w:val="19"/>
              </w:rPr>
              <w:t xml:space="preserve">Execution timeline, throughput, and pipeline success rate across retained batch runs.</w:t>
            </w:r>
          </w:p>
        </w:tc>
      </w:tr>
      <w:tr>
        <w:tc>
          <w:tcPr>
            <w:tcW w:type="dxa" w:w="2880"/>
            <w:vAlign w:val="center"/>
          </w:tcPr>
          <w:p>
            <w:pPr>
              <w:spacing w:before="0" w:after="0" w:line="252" w:lineRule="auto"/>
            </w:pPr>
            <w:r>
              <w:rPr>
                <w:rFonts w:ascii="Calibri" w:hAnsi="Calibri"/>
                <w:b w:val="0"/>
                <w:i w:val="0"/>
                <w:color w:val="1F2937"/>
                <w:sz w:val="19"/>
              </w:rPr>
              <w:t xml:space="preserve">Warehouse monitoring</w:t>
            </w:r>
          </w:p>
        </w:tc>
        <w:tc>
          <w:tcPr>
            <w:tcW w:type="dxa" w:w="6480"/>
            <w:vAlign w:val="center"/>
          </w:tcPr>
          <w:p>
            <w:pPr>
              <w:spacing w:before="0" w:after="0" w:line="252" w:lineRule="auto"/>
            </w:pPr>
            <w:r>
              <w:rPr>
                <w:rFonts w:ascii="Calibri" w:hAnsi="Calibri"/>
                <w:b w:val="0"/>
                <w:i w:val="0"/>
                <w:color w:val="1F2937"/>
                <w:sz w:val="19"/>
              </w:rPr>
              <w:t xml:space="preserve">Bronze, Silver, and Gold row counts and freshness surfaced on the Dataset Explorer.</w:t>
            </w:r>
          </w:p>
        </w:tc>
      </w:tr>
      <w:tr>
        <w:tc>
          <w:tcPr>
            <w:tcW w:type="dxa" w:w="2880"/>
            <w:vAlign w:val="center"/>
          </w:tcPr>
          <w:p>
            <w:pPr>
              <w:spacing w:before="0" w:after="0" w:line="252" w:lineRule="auto"/>
            </w:pPr>
            <w:r>
              <w:rPr>
                <w:rFonts w:ascii="Calibri" w:hAnsi="Calibri"/>
                <w:b w:val="0"/>
                <w:i w:val="0"/>
                <w:color w:val="1F2937"/>
                <w:sz w:val="19"/>
              </w:rPr>
              <w:t xml:space="preserve">Data freshness</w:t>
            </w:r>
          </w:p>
        </w:tc>
        <w:tc>
          <w:tcPr>
            <w:tcW w:type="dxa" w:w="6480"/>
            <w:vAlign w:val="center"/>
          </w:tcPr>
          <w:p>
            <w:pPr>
              <w:spacing w:before="0" w:after="0" w:line="252" w:lineRule="auto"/>
            </w:pPr>
            <w:r>
              <w:rPr>
                <w:rFonts w:ascii="Calibri" w:hAnsi="Calibri"/>
                <w:b w:val="0"/>
                <w:i w:val="0"/>
                <w:color w:val="1F2937"/>
                <w:sz w:val="19"/>
              </w:rPr>
              <w:t xml:space="preserve">Last successful batch and last validation run timestamps.</w:t>
            </w:r>
          </w:p>
        </w:tc>
      </w:tr>
      <w:tr>
        <w:tc>
          <w:tcPr>
            <w:tcW w:type="dxa" w:w="2880"/>
            <w:vAlign w:val="center"/>
          </w:tcPr>
          <w:p>
            <w:pPr>
              <w:spacing w:before="0" w:after="0" w:line="252" w:lineRule="auto"/>
            </w:pPr>
            <w:r>
              <w:rPr>
                <w:rFonts w:ascii="Calibri" w:hAnsi="Calibri"/>
                <w:b w:val="0"/>
                <w:i w:val="0"/>
                <w:color w:val="1F2937"/>
                <w:sz w:val="19"/>
              </w:rPr>
              <w:t xml:space="preserve">Operational visibility</w:t>
            </w:r>
          </w:p>
        </w:tc>
        <w:tc>
          <w:tcPr>
            <w:tcW w:type="dxa" w:w="6480"/>
            <w:vAlign w:val="center"/>
          </w:tcPr>
          <w:p>
            <w:pPr>
              <w:spacing w:before="0" w:after="0" w:line="252" w:lineRule="auto"/>
            </w:pPr>
            <w:r>
              <w:rPr>
                <w:rFonts w:ascii="Calibri" w:hAnsi="Calibri"/>
                <w:b w:val="0"/>
                <w:i w:val="0"/>
                <w:color w:val="1F2937"/>
                <w:sz w:val="19"/>
              </w:rPr>
              <w:t xml:space="preserve">A single Pipeline Health and Data Quality Center view combining the signals above.</w:t>
            </w:r>
          </w:p>
        </w:tc>
      </w:tr>
    </w:tbl>
    <w:p>
      <w:pPr>
        <w:spacing w:after="40"/>
      </w:pPr>
    </w:p>
    <w:p>
      <w:pPr>
        <w:pStyle w:val="Heading1"/>
        <w:keepNext/>
        <w:spacing w:before="320" w:after="120" w:line="240" w:lineRule="auto"/>
      </w:pPr>
      <w:r>
        <w:rPr>
          <w:rFonts w:ascii="Calibri" w:hAnsi="Calibri"/>
          <w:b/>
          <w:i w:val="0"/>
          <w:color w:val="2E74B5"/>
          <w:sz w:val="32"/>
        </w:rPr>
        <w:t>15. Startup Automation</w:t>
      </w:r>
    </w:p>
    <w:p>
      <w:pPr>
        <w:spacing w:before="0" w:after="120" w:line="264" w:lineRule="auto"/>
      </w:pPr>
      <w:r>
        <w:rPr>
          <w:rFonts w:ascii="Calibri" w:hAnsi="Calibri"/>
          <w:b w:val="0"/>
          <w:i w:val="0"/>
          <w:color w:val="1F2937"/>
          <w:sz w:val="22"/>
        </w:rPr>
        <w:t xml:space="preserve">A set of startup scripts automates local environment setup so the full stack can be brought up, checked, and torn down without manually sequencing each service.</w:t>
      </w:r>
    </w:p>
    <w:tbl>
      <w:tblPr>
        <w:tblStyle w:val="TableGrid"/>
        <w:tblW w:type="auto" w:w="0"/>
        <w:tblLayout w:type="fixed"/>
        <w:tblLook w:firstColumn="1" w:firstRow="1" w:lastColumn="0" w:lastRow="0" w:noHBand="0" w:noVBand="1" w:val="04A0"/>
      </w:tblPr>
      <w:tblGrid>
        <w:gridCol w:w="2880"/>
        <w:gridCol w:w="6480"/>
      </w:tblGrid>
      <w:tr>
        <w:trPr>
          <w:tblHeader w:val="true"/>
        </w:trPr>
        <w:tc>
          <w:tcPr>
            <w:tcW w:type="dxa" w:w="2880"/>
            <w:shd w:fill="E8EEF5"/>
            <w:vAlign w:val="center"/>
          </w:tcPr>
          <w:p>
            <w:pPr>
              <w:spacing w:before="0" w:after="0" w:line="264" w:lineRule="auto"/>
            </w:pPr>
            <w:r>
              <w:rPr>
                <w:rFonts w:ascii="Calibri" w:hAnsi="Calibri"/>
                <w:b/>
                <w:i w:val="0"/>
                <w:color w:val="1F4D78"/>
                <w:sz w:val="20"/>
              </w:rPr>
              <w:t xml:space="preserve">Script</w:t>
            </w:r>
          </w:p>
        </w:tc>
        <w:tc>
          <w:tcPr>
            <w:tcW w:type="dxa" w:w="6480"/>
            <w:shd w:fill="E8EEF5"/>
            <w:vAlign w:val="center"/>
          </w:tcPr>
          <w:p>
            <w:pPr>
              <w:spacing w:before="0" w:after="0" w:line="264" w:lineRule="auto"/>
            </w:pPr>
            <w:r>
              <w:rPr>
                <w:rFonts w:ascii="Calibri" w:hAnsi="Calibri"/>
                <w:b/>
                <w:i w:val="0"/>
                <w:color w:val="1F4D78"/>
                <w:sz w:val="20"/>
              </w:rPr>
              <w:t xml:space="preserve">Purpose</w:t>
            </w:r>
          </w:p>
        </w:tc>
      </w:tr>
      <w:tr>
        <w:tc>
          <w:tcPr>
            <w:tcW w:type="dxa" w:w="2880"/>
            <w:vAlign w:val="center"/>
          </w:tcPr>
          <w:p>
            <w:pPr>
              <w:spacing w:before="0" w:after="0" w:line="252" w:lineRule="auto"/>
            </w:pPr>
            <w:r>
              <w:rPr>
                <w:rFonts w:ascii="Calibri" w:hAnsi="Calibri"/>
                <w:b w:val="0"/>
                <w:i w:val="0"/>
                <w:color w:val="1F2937"/>
                <w:sz w:val="19"/>
              </w:rPr>
              <w:t xml:space="preserve">start_project.bat</w:t>
            </w:r>
          </w:p>
        </w:tc>
        <w:tc>
          <w:tcPr>
            <w:tcW w:type="dxa" w:w="6480"/>
            <w:vAlign w:val="center"/>
          </w:tcPr>
          <w:p>
            <w:pPr>
              <w:spacing w:before="0" w:after="0" w:line="252" w:lineRule="auto"/>
            </w:pPr>
            <w:r>
              <w:rPr>
                <w:rFonts w:ascii="Calibri" w:hAnsi="Calibri"/>
                <w:b w:val="0"/>
                <w:i w:val="0"/>
                <w:color w:val="1F2937"/>
                <w:sz w:val="19"/>
              </w:rPr>
              <w:t xml:space="preserve">Starts Docker, PostgreSQL, the FastAPI backend, and the React dashboard in the correct order.</w:t>
            </w:r>
          </w:p>
        </w:tc>
      </w:tr>
      <w:tr>
        <w:tc>
          <w:tcPr>
            <w:tcW w:type="dxa" w:w="2880"/>
            <w:vAlign w:val="center"/>
          </w:tcPr>
          <w:p>
            <w:pPr>
              <w:spacing w:before="0" w:after="0" w:line="252" w:lineRule="auto"/>
            </w:pPr>
            <w:r>
              <w:rPr>
                <w:rFonts w:ascii="Calibri" w:hAnsi="Calibri"/>
                <w:b w:val="0"/>
                <w:i w:val="0"/>
                <w:color w:val="1F2937"/>
                <w:sz w:val="19"/>
              </w:rPr>
              <w:t xml:space="preserve">stop_project.bat</w:t>
            </w:r>
          </w:p>
        </w:tc>
        <w:tc>
          <w:tcPr>
            <w:tcW w:type="dxa" w:w="6480"/>
            <w:vAlign w:val="center"/>
          </w:tcPr>
          <w:p>
            <w:pPr>
              <w:spacing w:before="0" w:after="0" w:line="252" w:lineRule="auto"/>
            </w:pPr>
            <w:r>
              <w:rPr>
                <w:rFonts w:ascii="Calibri" w:hAnsi="Calibri"/>
                <w:b w:val="0"/>
                <w:i w:val="0"/>
                <w:color w:val="1F2937"/>
                <w:sz w:val="19"/>
              </w:rPr>
              <w:t xml:space="preserve">Stops all running project services and containers cleanly.</w:t>
            </w:r>
          </w:p>
        </w:tc>
      </w:tr>
      <w:tr>
        <w:tc>
          <w:tcPr>
            <w:tcW w:type="dxa" w:w="2880"/>
            <w:vAlign w:val="center"/>
          </w:tcPr>
          <w:p>
            <w:pPr>
              <w:spacing w:before="0" w:after="0" w:line="252" w:lineRule="auto"/>
            </w:pPr>
            <w:r>
              <w:rPr>
                <w:rFonts w:ascii="Calibri" w:hAnsi="Calibri"/>
                <w:b w:val="0"/>
                <w:i w:val="0"/>
                <w:color w:val="1F2937"/>
                <w:sz w:val="19"/>
              </w:rPr>
              <w:t xml:space="preserve">health_check.bat</w:t>
            </w:r>
          </w:p>
        </w:tc>
        <w:tc>
          <w:tcPr>
            <w:tcW w:type="dxa" w:w="6480"/>
            <w:vAlign w:val="center"/>
          </w:tcPr>
          <w:p>
            <w:pPr>
              <w:spacing w:before="0" w:after="0" w:line="252" w:lineRule="auto"/>
            </w:pPr>
            <w:r>
              <w:rPr>
                <w:rFonts w:ascii="Calibri" w:hAnsi="Calibri"/>
                <w:b w:val="0"/>
                <w:i w:val="0"/>
                <w:color w:val="1F2937"/>
                <w:sz w:val="19"/>
              </w:rPr>
              <w:t xml:space="preserve">Verifies that PostgreSQL, FastAPI, and the dashboard are reachable and reports service status.</w:t>
            </w:r>
          </w:p>
        </w:tc>
      </w:tr>
      <w:tr>
        <w:tc>
          <w:tcPr>
            <w:tcW w:type="dxa" w:w="2880"/>
            <w:vAlign w:val="center"/>
          </w:tcPr>
          <w:p>
            <w:pPr>
              <w:spacing w:before="0" w:after="0" w:line="252" w:lineRule="auto"/>
            </w:pPr>
            <w:r>
              <w:rPr>
                <w:rFonts w:ascii="Calibri" w:hAnsi="Calibri"/>
                <w:b w:val="0"/>
                <w:i w:val="0"/>
                <w:color w:val="1F2937"/>
                <w:sz w:val="19"/>
              </w:rPr>
              <w:t xml:space="preserve">launch_airflow.bat</w:t>
            </w:r>
          </w:p>
        </w:tc>
        <w:tc>
          <w:tcPr>
            <w:tcW w:type="dxa" w:w="6480"/>
            <w:vAlign w:val="center"/>
          </w:tcPr>
          <w:p>
            <w:pPr>
              <w:spacing w:before="0" w:after="0" w:line="252" w:lineRule="auto"/>
            </w:pPr>
            <w:r>
              <w:rPr>
                <w:rFonts w:ascii="Calibri" w:hAnsi="Calibri"/>
                <w:b w:val="0"/>
                <w:i w:val="0"/>
                <w:color w:val="1F2937"/>
                <w:sz w:val="19"/>
              </w:rPr>
              <w:t xml:space="preserve">Starts the Airflow webserver and scheduler and opens the warehouse_pipeline DAG view.</w:t>
            </w:r>
          </w:p>
        </w:tc>
      </w:tr>
    </w:tbl>
    <w:p>
      <w:pPr>
        <w:spacing w:after="40"/>
      </w:pPr>
    </w:p>
    <w:p>
      <w:pPr>
        <w:pStyle w:val="Heading1"/>
        <w:keepNext/>
        <w:spacing w:before="320" w:after="120" w:line="240" w:lineRule="auto"/>
      </w:pPr>
      <w:r>
        <w:rPr>
          <w:rFonts w:ascii="Calibri" w:hAnsi="Calibri"/>
          <w:b/>
          <w:i w:val="0"/>
          <w:color w:val="2E74B5"/>
          <w:sz w:val="32"/>
        </w:rPr>
        <w:t>16. Sample Code Snippets</w:t>
      </w:r>
    </w:p>
    <w:p>
      <w:pPr>
        <w:spacing w:before="120" w:after="60" w:line="264" w:lineRule="auto"/>
      </w:pPr>
      <w:r>
        <w:rPr>
          <w:rFonts w:ascii="Calibri" w:hAnsi="Calibri"/>
          <w:b/>
          <w:i w:val="0"/>
          <w:color w:val="1F4D78"/>
          <w:sz w:val="20"/>
        </w:rPr>
        <w:t xml:space="preserve">Bronze ingestion - create a batch record (scripts/ingestion/load_customers.py)</w:t>
      </w:r>
    </w:p>
    <w:p>
      <w:pPr>
        <w:spacing w:after="120" w:line="240" w:lineRule="auto"/>
        <w:ind w:left="288"/>
        <w:shd w:fill="F2F4F7"/>
      </w:pPr>
      <w:r>
        <w:rPr>
          <w:rFonts w:ascii="Consolas" w:hAnsi="Consolas"/>
          <w:color w:val="1F2937"/>
          <w:sz w:val="16"/>
        </w:rPr>
        <w:t>result = conn.execute(text("""</w:t>
        <w:br/>
        <w:t xml:space="preserve">    INSERT INTO metadata.batch_control (pipeline_name, status)</w:t>
        <w:br/>
        <w:t xml:space="preserve">    VALUES ('customers_ingestion', 'RUNNING')</w:t>
        <w:br/>
        <w:t xml:space="preserve">    RETURNING batch_id</w:t>
        <w:br/>
        <w:t>"""))</w:t>
        <w:br/>
        <w:t>batch_id = result.scalar()</w:t>
      </w:r>
    </w:p>
    <w:p>
      <w:pPr>
        <w:spacing w:before="120" w:after="60" w:line="264" w:lineRule="auto"/>
      </w:pPr>
      <w:r>
        <w:rPr>
          <w:rFonts w:ascii="Calibri" w:hAnsi="Calibri"/>
          <w:b/>
          <w:i w:val="0"/>
          <w:color w:val="1F4D78"/>
          <w:sz w:val="20"/>
        </w:rPr>
        <w:t xml:space="preserve">Silver transformation - standardize customer location (sql/silver/01_customers.sql)</w:t>
      </w:r>
    </w:p>
    <w:p>
      <w:pPr>
        <w:spacing w:after="120" w:line="240" w:lineRule="auto"/>
        <w:ind w:left="288"/>
        <w:shd w:fill="F2F4F7"/>
      </w:pPr>
      <w:r>
        <w:rPr>
          <w:rFonts w:ascii="Consolas" w:hAnsi="Consolas"/>
          <w:color w:val="1F2937"/>
          <w:sz w:val="16"/>
        </w:rPr>
        <w:t>SELECT DISTINCT ON (customer_id)</w:t>
        <w:br/>
        <w:t xml:space="preserve">    customer_id, customer_unique_id,</w:t>
        <w:br/>
        <w:t xml:space="preserve">    UPPER(customer_city), UPPER(customer_state), batch_id</w:t>
        <w:br/>
        <w:t>FROM bronze.customers_raw</w:t>
        <w:br/>
        <w:t>ORDER BY customer_id, batch_id DESC;</w:t>
      </w:r>
    </w:p>
    <w:p>
      <w:pPr>
        <w:spacing w:before="120" w:after="60" w:line="264" w:lineRule="auto"/>
      </w:pPr>
      <w:r>
        <w:rPr>
          <w:rFonts w:ascii="Calibri" w:hAnsi="Calibri"/>
          <w:b/>
          <w:i w:val="0"/>
          <w:color w:val="1F4D78"/>
          <w:sz w:val="20"/>
        </w:rPr>
        <w:t xml:space="preserve">Gold aggregation - daily revenue (sql/gold/01_sales_summary.sql)</w:t>
      </w:r>
    </w:p>
    <w:p>
      <w:pPr>
        <w:spacing w:after="120" w:line="240" w:lineRule="auto"/>
        <w:ind w:left="288"/>
        <w:shd w:fill="F2F4F7"/>
      </w:pPr>
      <w:r>
        <w:rPr>
          <w:rFonts w:ascii="Consolas" w:hAnsi="Consolas"/>
          <w:color w:val="1F2937"/>
          <w:sz w:val="16"/>
        </w:rPr>
        <w:t>SELECT DATE(purchase_timestamp),</w:t>
        <w:br/>
        <w:t xml:space="preserve">    COUNT(DISTINCT order_id), SUM(price), SUM(freight_value)</w:t>
        <w:br/>
        <w:t>FROM silver.order_fact</w:t>
        <w:br/>
        <w:t>GROUP BY DATE(purchase_timestamp);</w:t>
      </w:r>
    </w:p>
    <w:p>
      <w:pPr>
        <w:spacing w:before="120" w:after="60" w:line="264" w:lineRule="auto"/>
      </w:pPr>
      <w:r>
        <w:rPr>
          <w:rFonts w:ascii="Calibri" w:hAnsi="Calibri"/>
          <w:b/>
          <w:i w:val="0"/>
          <w:color w:val="1F4D78"/>
          <w:sz w:val="20"/>
        </w:rPr>
        <w:t xml:space="preserve">SCD Type 2 - expire current row (scripts/scd.py)</w:t>
      </w:r>
    </w:p>
    <w:p>
      <w:pPr>
        <w:spacing w:after="120" w:line="240" w:lineRule="auto"/>
        <w:ind w:left="288"/>
        <w:shd w:fill="F2F4F7"/>
      </w:pPr>
      <w:r>
        <w:rPr>
          <w:rFonts w:ascii="Consolas" w:hAnsi="Consolas"/>
          <w:color w:val="1F2937"/>
          <w:sz w:val="16"/>
        </w:rPr>
        <w:t>UPDATE silver.customers_scd AS target</w:t>
        <w:br/>
        <w:t>SET effective_end_date = CURRENT_TIMESTAMP, is_current = FALSE</w:t>
        <w:br/>
        <w:t>FROM silver.customers AS source</w:t>
        <w:br/>
        <w:t>WHERE target.customer_id = source.customer_id</w:t>
        <w:br/>
        <w:t>AND target.is_current = TRUE</w:t>
        <w:br/>
        <w:t>AND (target.customer_city IS DISTINCT FROM source.customer_city</w:t>
        <w:br/>
        <w:t>OR target.customer_state IS DISTINCT FROM source.customer_state);</w:t>
      </w:r>
    </w:p>
    <w:p>
      <w:pPr>
        <w:spacing w:before="120" w:after="60" w:line="264" w:lineRule="auto"/>
      </w:pPr>
      <w:r>
        <w:rPr>
          <w:rFonts w:ascii="Calibri" w:hAnsi="Calibri"/>
          <w:b/>
          <w:i w:val="0"/>
          <w:color w:val="1F4D78"/>
          <w:sz w:val="20"/>
        </w:rPr>
        <w:t xml:space="preserve">Great Expectations - table-level expectation suite (great_expectations/suites/silver_customers.py)</w:t>
      </w:r>
    </w:p>
    <w:p>
      <w:pPr>
        <w:spacing w:after="120" w:line="240" w:lineRule="auto"/>
        <w:ind w:left="288"/>
        <w:shd w:fill="F2F4F7"/>
      </w:pPr>
      <w:r>
        <w:rPr>
          <w:rFonts w:ascii="Consolas" w:hAnsi="Consolas"/>
          <w:color w:val="1F2937"/>
          <w:sz w:val="16"/>
        </w:rPr>
        <w:t>validator.expect_column_values_to_not_be_null('customer_id')</w:t>
        <w:br/>
        <w:t>validator.expect_column_values_to_be_unique('customer_id')</w:t>
        <w:br/>
        <w:t>validator.expect_column_values_to_be_between('payment_value', min_value=0)</w:t>
        <w:br/>
        <w:t>validator.expect_table_row_count_to_be_between(min_value=1)</w:t>
      </w:r>
    </w:p>
    <w:p>
      <w:pPr>
        <w:spacing w:before="120" w:after="60" w:line="264" w:lineRule="auto"/>
      </w:pPr>
      <w:r>
        <w:rPr>
          <w:rFonts w:ascii="Calibri" w:hAnsi="Calibri"/>
          <w:b/>
          <w:i w:val="0"/>
          <w:color w:val="1F4D78"/>
          <w:sz w:val="20"/>
        </w:rPr>
        <w:t xml:space="preserve">FastAPI endpoint - customer SCD history (backend/app/routes/scd.py)</w:t>
      </w:r>
    </w:p>
    <w:p>
      <w:pPr>
        <w:spacing w:after="120" w:line="240" w:lineRule="auto"/>
        <w:ind w:left="288"/>
        <w:shd w:fill="F2F4F7"/>
      </w:pPr>
      <w:r>
        <w:rPr>
          <w:rFonts w:ascii="Consolas" w:hAnsi="Consolas"/>
          <w:color w:val="1F2937"/>
          <w:sz w:val="16"/>
        </w:rPr>
        <w:t>@router.get('/history/{customer_id}')</w:t>
        <w:br/>
        <w:t>def get_history(customer_id: str):</w:t>
        <w:br/>
        <w:t xml:space="preserve">    history = get_customer_scd_history(customer_id)</w:t>
        <w:br/>
        <w:t xml:space="preserve">    if history is None:</w:t>
        <w:br/>
        <w:t xml:space="preserve">        raise HTTPException(status_code=404)</w:t>
        <w:br/>
        <w:t xml:space="preserve">    return success_response(history.model_dump())</w:t>
      </w:r>
    </w:p>
    <w:p>
      <w:pPr>
        <w:pStyle w:val="Heading1"/>
        <w:keepNext/>
        <w:spacing w:before="320" w:after="120" w:line="240" w:lineRule="auto"/>
      </w:pPr>
      <w:r>
        <w:rPr>
          <w:rFonts w:ascii="Calibri" w:hAnsi="Calibri"/>
          <w:b/>
          <w:i w:val="0"/>
          <w:color w:val="2E74B5"/>
          <w:sz w:val="32"/>
        </w:rPr>
        <w:t>17. Challenges and Solutions</w:t>
      </w:r>
    </w:p>
    <w:tbl>
      <w:tblPr>
        <w:tblStyle w:val="TableGrid"/>
        <w:tblW w:type="auto" w:w="0"/>
        <w:tblLayout w:type="fixed"/>
        <w:tblLook w:firstColumn="1" w:firstRow="1" w:lastColumn="0" w:lastRow="0" w:noHBand="0" w:noVBand="1" w:val="04A0"/>
      </w:tblPr>
      <w:tblGrid>
        <w:gridCol w:w="2880"/>
        <w:gridCol w:w="6480"/>
      </w:tblGrid>
      <w:tr>
        <w:trPr>
          <w:tblHeader w:val="true"/>
        </w:trPr>
        <w:tc>
          <w:tcPr>
            <w:tcW w:type="dxa" w:w="2880"/>
            <w:shd w:fill="E8EEF5"/>
            <w:vAlign w:val="center"/>
          </w:tcPr>
          <w:p>
            <w:pPr>
              <w:spacing w:before="0" w:after="0" w:line="264" w:lineRule="auto"/>
            </w:pPr>
            <w:r>
              <w:rPr>
                <w:rFonts w:ascii="Calibri" w:hAnsi="Calibri"/>
                <w:b/>
                <w:i w:val="0"/>
                <w:color w:val="1F4D78"/>
                <w:sz w:val="20"/>
              </w:rPr>
              <w:t xml:space="preserve">Challenge</w:t>
            </w:r>
          </w:p>
        </w:tc>
        <w:tc>
          <w:tcPr>
            <w:tcW w:type="dxa" w:w="6480"/>
            <w:shd w:fill="E8EEF5"/>
            <w:vAlign w:val="center"/>
          </w:tcPr>
          <w:p>
            <w:pPr>
              <w:spacing w:before="0" w:after="0" w:line="264" w:lineRule="auto"/>
            </w:pPr>
            <w:r>
              <w:rPr>
                <w:rFonts w:ascii="Calibri" w:hAnsi="Calibri"/>
                <w:b/>
                <w:i w:val="0"/>
                <w:color w:val="1F4D78"/>
                <w:sz w:val="20"/>
              </w:rPr>
              <w:t xml:space="preserve">Applied solution</w:t>
            </w:r>
          </w:p>
        </w:tc>
      </w:tr>
      <w:tr>
        <w:tc>
          <w:tcPr>
            <w:tcW w:type="dxa" w:w="2880"/>
            <w:vAlign w:val="center"/>
          </w:tcPr>
          <w:p>
            <w:pPr>
              <w:spacing w:before="0" w:after="0" w:line="252" w:lineRule="auto"/>
            </w:pPr>
            <w:r>
              <w:rPr>
                <w:rFonts w:ascii="Calibri" w:hAnsi="Calibri"/>
                <w:b w:val="0"/>
                <w:i w:val="0"/>
                <w:color w:val="1F2937"/>
                <w:sz w:val="19"/>
              </w:rPr>
              <w:t xml:space="preserve">PostgreSQL connectivity</w:t>
            </w:r>
          </w:p>
        </w:tc>
        <w:tc>
          <w:tcPr>
            <w:tcW w:type="dxa" w:w="6480"/>
            <w:vAlign w:val="center"/>
          </w:tcPr>
          <w:p>
            <w:pPr>
              <w:spacing w:before="0" w:after="0" w:line="252" w:lineRule="auto"/>
            </w:pPr>
            <w:r>
              <w:rPr>
                <w:rFonts w:ascii="Calibri" w:hAnsi="Calibri"/>
                <w:b w:val="0"/>
                <w:i w:val="0"/>
                <w:color w:val="1F2937"/>
                <w:sz w:val="19"/>
              </w:rPr>
              <w:t xml:space="preserve">Centralized connection helpers and Docker environment variables provide consistent access to de_poc.</w:t>
            </w:r>
          </w:p>
        </w:tc>
      </w:tr>
      <w:tr>
        <w:tc>
          <w:tcPr>
            <w:tcW w:type="dxa" w:w="2880"/>
            <w:vAlign w:val="center"/>
          </w:tcPr>
          <w:p>
            <w:pPr>
              <w:spacing w:before="0" w:after="0" w:line="252" w:lineRule="auto"/>
            </w:pPr>
            <w:r>
              <w:rPr>
                <w:rFonts w:ascii="Calibri" w:hAnsi="Calibri"/>
                <w:b w:val="0"/>
                <w:i w:val="0"/>
                <w:color w:val="1F2937"/>
                <w:sz w:val="19"/>
              </w:rPr>
              <w:t xml:space="preserve">Docker networking</w:t>
            </w:r>
          </w:p>
        </w:tc>
        <w:tc>
          <w:tcPr>
            <w:tcW w:type="dxa" w:w="6480"/>
            <w:vAlign w:val="center"/>
          </w:tcPr>
          <w:p>
            <w:pPr>
              <w:spacing w:before="0" w:after="0" w:line="252" w:lineRule="auto"/>
            </w:pPr>
            <w:r>
              <w:rPr>
                <w:rFonts w:ascii="Calibri" w:hAnsi="Calibri"/>
                <w:b w:val="0"/>
                <w:i w:val="0"/>
                <w:color w:val="1F2937"/>
                <w:sz w:val="19"/>
              </w:rPr>
              <w:t xml:space="preserve">Pipeline scripts use the de_poc_postgres container hostname within the Docker/Airflow environment.</w:t>
            </w:r>
          </w:p>
        </w:tc>
      </w:tr>
      <w:tr>
        <w:tc>
          <w:tcPr>
            <w:tcW w:type="dxa" w:w="2880"/>
            <w:vAlign w:val="center"/>
          </w:tcPr>
          <w:p>
            <w:pPr>
              <w:spacing w:before="0" w:after="0" w:line="252" w:lineRule="auto"/>
            </w:pPr>
            <w:r>
              <w:rPr>
                <w:rFonts w:ascii="Calibri" w:hAnsi="Calibri"/>
                <w:b w:val="0"/>
                <w:i w:val="0"/>
                <w:color w:val="1F2937"/>
                <w:sz w:val="19"/>
              </w:rPr>
              <w:t xml:space="preserve">Incremental updates</w:t>
            </w:r>
          </w:p>
        </w:tc>
        <w:tc>
          <w:tcPr>
            <w:tcW w:type="dxa" w:w="6480"/>
            <w:vAlign w:val="center"/>
          </w:tcPr>
          <w:p>
            <w:pPr>
              <w:spacing w:before="0" w:after="0" w:line="252" w:lineRule="auto"/>
            </w:pPr>
            <w:r>
              <w:rPr>
                <w:rFonts w:ascii="Calibri" w:hAnsi="Calibri"/>
                <w:b w:val="0"/>
                <w:i w:val="0"/>
                <w:color w:val="1F2937"/>
                <w:sz w:val="19"/>
              </w:rPr>
              <w:t xml:space="preserve">metadata.load_tracker records the last processed customer batch and limits the next load to newer Bronze rows.</w:t>
            </w:r>
          </w:p>
        </w:tc>
      </w:tr>
      <w:tr>
        <w:tc>
          <w:tcPr>
            <w:tcW w:type="dxa" w:w="2880"/>
            <w:vAlign w:val="center"/>
          </w:tcPr>
          <w:p>
            <w:pPr>
              <w:spacing w:before="0" w:after="0" w:line="252" w:lineRule="auto"/>
            </w:pPr>
            <w:r>
              <w:rPr>
                <w:rFonts w:ascii="Calibri" w:hAnsi="Calibri"/>
                <w:b w:val="0"/>
                <w:i w:val="0"/>
                <w:color w:val="1F2937"/>
                <w:sz w:val="19"/>
              </w:rPr>
              <w:t xml:space="preserve">Customer attribute changes</w:t>
            </w:r>
          </w:p>
        </w:tc>
        <w:tc>
          <w:tcPr>
            <w:tcW w:type="dxa" w:w="6480"/>
            <w:vAlign w:val="center"/>
          </w:tcPr>
          <w:p>
            <w:pPr>
              <w:spacing w:before="0" w:after="0" w:line="252" w:lineRule="auto"/>
            </w:pPr>
            <w:r>
              <w:rPr>
                <w:rFonts w:ascii="Calibri" w:hAnsi="Calibri"/>
                <w:b w:val="0"/>
                <w:i w:val="0"/>
                <w:color w:val="1F2937"/>
                <w:sz w:val="19"/>
              </w:rPr>
              <w:t xml:space="preserve">SCD Type 2 expires the existing current record and inserts a versioned replacement.</w:t>
            </w:r>
          </w:p>
        </w:tc>
      </w:tr>
      <w:tr>
        <w:tc>
          <w:tcPr>
            <w:tcW w:type="dxa" w:w="2880"/>
            <w:vAlign w:val="center"/>
          </w:tcPr>
          <w:p>
            <w:pPr>
              <w:spacing w:before="0" w:after="0" w:line="252" w:lineRule="auto"/>
            </w:pPr>
            <w:r>
              <w:rPr>
                <w:rFonts w:ascii="Calibri" w:hAnsi="Calibri"/>
                <w:b w:val="0"/>
                <w:i w:val="0"/>
                <w:color w:val="1F2937"/>
                <w:sz w:val="19"/>
              </w:rPr>
              <w:t xml:space="preserve">Validation coverage</w:t>
            </w:r>
          </w:p>
        </w:tc>
        <w:tc>
          <w:tcPr>
            <w:tcW w:type="dxa" w:w="6480"/>
            <w:vAlign w:val="center"/>
          </w:tcPr>
          <w:p>
            <w:pPr>
              <w:spacing w:before="0" w:after="0" w:line="252" w:lineRule="auto"/>
            </w:pPr>
            <w:r>
              <w:rPr>
                <w:rFonts w:ascii="Calibri" w:hAnsi="Calibri"/>
                <w:b w:val="0"/>
                <w:i w:val="0"/>
                <w:color w:val="1F2937"/>
                <w:sz w:val="19"/>
              </w:rPr>
              <w:t xml:space="preserve">Great Expectations suites replace ad hoc row-count scripts with declarative, repeatable expectations and a persisted quality score.</w:t>
            </w:r>
          </w:p>
        </w:tc>
      </w:tr>
      <w:tr>
        <w:tc>
          <w:tcPr>
            <w:tcW w:type="dxa" w:w="2880"/>
            <w:vAlign w:val="center"/>
          </w:tcPr>
          <w:p>
            <w:pPr>
              <w:spacing w:before="0" w:after="0" w:line="252" w:lineRule="auto"/>
            </w:pPr>
            <w:r>
              <w:rPr>
                <w:rFonts w:ascii="Calibri" w:hAnsi="Calibri"/>
                <w:b w:val="0"/>
                <w:i w:val="0"/>
                <w:color w:val="1F2937"/>
                <w:sz w:val="19"/>
              </w:rPr>
              <w:t xml:space="preserve">Dashboard integration</w:t>
            </w:r>
          </w:p>
        </w:tc>
        <w:tc>
          <w:tcPr>
            <w:tcW w:type="dxa" w:w="6480"/>
            <w:vAlign w:val="center"/>
          </w:tcPr>
          <w:p>
            <w:pPr>
              <w:spacing w:before="0" w:after="0" w:line="252" w:lineRule="auto"/>
            </w:pPr>
            <w:r>
              <w:rPr>
                <w:rFonts w:ascii="Calibri" w:hAnsi="Calibri"/>
                <w:b w:val="0"/>
                <w:i w:val="0"/>
                <w:color w:val="1F2937"/>
                <w:sz w:val="19"/>
              </w:rPr>
              <w:t xml:space="preserve">React Query services consume FastAPI's consistent data/meta envelope and display loading, empty, and error states.</w:t>
            </w:r>
          </w:p>
        </w:tc>
      </w:tr>
      <w:tr>
        <w:tc>
          <w:tcPr>
            <w:tcW w:type="dxa" w:w="2880"/>
            <w:vAlign w:val="center"/>
          </w:tcPr>
          <w:p>
            <w:pPr>
              <w:spacing w:before="0" w:after="0" w:line="252" w:lineRule="auto"/>
            </w:pPr>
            <w:r>
              <w:rPr>
                <w:rFonts w:ascii="Calibri" w:hAnsi="Calibri"/>
                <w:b w:val="0"/>
                <w:i w:val="0"/>
                <w:color w:val="1F2937"/>
                <w:sz w:val="19"/>
              </w:rPr>
              <w:t xml:space="preserve">Responsive layout</w:t>
            </w:r>
          </w:p>
        </w:tc>
        <w:tc>
          <w:tcPr>
            <w:tcW w:type="dxa" w:w="6480"/>
            <w:vAlign w:val="center"/>
          </w:tcPr>
          <w:p>
            <w:pPr>
              <w:spacing w:before="0" w:after="0" w:line="252" w:lineRule="auto"/>
            </w:pPr>
            <w:r>
              <w:rPr>
                <w:rFonts w:ascii="Calibri" w:hAnsi="Calibri"/>
                <w:b w:val="0"/>
                <w:i w:val="0"/>
                <w:color w:val="1F2937"/>
                <w:sz w:val="19"/>
              </w:rPr>
              <w:t xml:space="preserve">Tailwind CSS breakpoints and adaptive chart sizing keep KPI cards, tables, and charts usable from desktop to mobile.</w:t>
            </w:r>
          </w:p>
        </w:tc>
      </w:tr>
    </w:tbl>
    <w:p>
      <w:pPr>
        <w:spacing w:after="40"/>
      </w:pPr>
    </w:p>
    <w:p>
      <w:pPr>
        <w:pStyle w:val="Heading1"/>
        <w:keepNext/>
        <w:spacing w:before="320" w:after="120" w:line="240" w:lineRule="auto"/>
      </w:pPr>
      <w:r>
        <w:rPr>
          <w:rFonts w:ascii="Calibri" w:hAnsi="Calibri"/>
          <w:b/>
          <w:i w:val="0"/>
          <w:color w:val="2E74B5"/>
          <w:sz w:val="32"/>
        </w:rPr>
        <w:t>18. Outcomes</w:t>
      </w:r>
    </w:p>
    <w:p>
      <w:pPr>
        <w:spacing w:before="0" w:after="120" w:line="264" w:lineRule="auto"/>
      </w:pPr>
      <w:r>
        <w:rPr>
          <w:rFonts w:ascii="Calibri" w:hAnsi="Calibri"/>
          <w:b w:val="0"/>
          <w:i w:val="0"/>
          <w:color w:val="1F2937"/>
          <w:sz w:val="22"/>
        </w:rPr>
        <w:t xml:space="preserve">The proof of concept demonstrates a complete data engineering path from e-commerce CSV data to governed warehouse analytics and a presentation-ready, responsive dashboard.</w:t>
      </w:r>
    </w:p>
    <w:p>
      <w:pPr>
        <w:pStyle w:val="ListBullet"/>
        <w:spacing w:before="0" w:after="60" w:line="264" w:lineRule="auto"/>
      </w:pPr>
      <w:r>
        <w:rPr>
          <w:rFonts w:ascii="Calibri" w:hAnsi="Calibri"/>
          <w:b w:val="0"/>
          <w:i w:val="0"/>
          <w:color w:val="1F2937"/>
          <w:sz w:val="22"/>
        </w:rPr>
        <w:t xml:space="preserve">Implemented: Bronze Layer</w:t>
      </w:r>
    </w:p>
    <w:p>
      <w:pPr>
        <w:pStyle w:val="ListBullet"/>
        <w:spacing w:before="0" w:after="60" w:line="264" w:lineRule="auto"/>
      </w:pPr>
      <w:r>
        <w:rPr>
          <w:rFonts w:ascii="Calibri" w:hAnsi="Calibri"/>
          <w:b w:val="0"/>
          <w:i w:val="0"/>
          <w:color w:val="1F2937"/>
          <w:sz w:val="22"/>
        </w:rPr>
        <w:t xml:space="preserve">Implemented: Silver Layer</w:t>
      </w:r>
    </w:p>
    <w:p>
      <w:pPr>
        <w:pStyle w:val="ListBullet"/>
        <w:spacing w:before="0" w:after="60" w:line="264" w:lineRule="auto"/>
      </w:pPr>
      <w:r>
        <w:rPr>
          <w:rFonts w:ascii="Calibri" w:hAnsi="Calibri"/>
          <w:b w:val="0"/>
          <w:i w:val="0"/>
          <w:color w:val="1F2937"/>
          <w:sz w:val="22"/>
        </w:rPr>
        <w:t xml:space="preserve">Implemented: Gold Layer</w:t>
      </w:r>
    </w:p>
    <w:p>
      <w:pPr>
        <w:pStyle w:val="ListBullet"/>
        <w:spacing w:before="0" w:after="60" w:line="264" w:lineRule="auto"/>
      </w:pPr>
      <w:r>
        <w:rPr>
          <w:rFonts w:ascii="Calibri" w:hAnsi="Calibri"/>
          <w:b w:val="0"/>
          <w:i w:val="0"/>
          <w:color w:val="1F2937"/>
          <w:sz w:val="22"/>
        </w:rPr>
        <w:t xml:space="preserve">Implemented: Incremental Loading</w:t>
      </w:r>
    </w:p>
    <w:p>
      <w:pPr>
        <w:pStyle w:val="ListBullet"/>
        <w:spacing w:before="0" w:after="60" w:line="264" w:lineRule="auto"/>
      </w:pPr>
      <w:r>
        <w:rPr>
          <w:rFonts w:ascii="Calibri" w:hAnsi="Calibri"/>
          <w:b w:val="0"/>
          <w:i w:val="0"/>
          <w:color w:val="1F2937"/>
          <w:sz w:val="22"/>
        </w:rPr>
        <w:t xml:space="preserve">Implemented: Metadata Framework</w:t>
      </w:r>
    </w:p>
    <w:p>
      <w:pPr>
        <w:pStyle w:val="ListBullet"/>
        <w:spacing w:before="0" w:after="60" w:line="264" w:lineRule="auto"/>
      </w:pPr>
      <w:r>
        <w:rPr>
          <w:rFonts w:ascii="Calibri" w:hAnsi="Calibri"/>
          <w:b w:val="0"/>
          <w:i w:val="0"/>
          <w:color w:val="1F2937"/>
          <w:sz w:val="22"/>
        </w:rPr>
        <w:t xml:space="preserve">Implemented: Audit Framework</w:t>
      </w:r>
    </w:p>
    <w:p>
      <w:pPr>
        <w:pStyle w:val="ListBullet"/>
        <w:spacing w:before="0" w:after="60" w:line="264" w:lineRule="auto"/>
      </w:pPr>
      <w:r>
        <w:rPr>
          <w:rFonts w:ascii="Calibri" w:hAnsi="Calibri"/>
          <w:b w:val="0"/>
          <w:i w:val="0"/>
          <w:color w:val="1F2937"/>
          <w:sz w:val="22"/>
        </w:rPr>
        <w:t xml:space="preserve">Implemented: Observability Framework</w:t>
      </w:r>
    </w:p>
    <w:p>
      <w:pPr>
        <w:pStyle w:val="ListBullet"/>
        <w:spacing w:before="0" w:after="60" w:line="264" w:lineRule="auto"/>
      </w:pPr>
      <w:r>
        <w:rPr>
          <w:rFonts w:ascii="Calibri" w:hAnsi="Calibri"/>
          <w:b w:val="0"/>
          <w:i w:val="0"/>
          <w:color w:val="1F2937"/>
          <w:sz w:val="22"/>
        </w:rPr>
        <w:t xml:space="preserve">Implemented: Validation Framework</w:t>
      </w:r>
    </w:p>
    <w:p>
      <w:pPr>
        <w:pStyle w:val="ListBullet"/>
        <w:spacing w:before="0" w:after="60" w:line="264" w:lineRule="auto"/>
      </w:pPr>
      <w:r>
        <w:rPr>
          <w:rFonts w:ascii="Calibri" w:hAnsi="Calibri"/>
          <w:b w:val="0"/>
          <w:i w:val="0"/>
          <w:color w:val="1F2937"/>
          <w:sz w:val="22"/>
        </w:rPr>
        <w:t xml:space="preserve">Implemented: Great Expectations Data Quality Suites</w:t>
      </w:r>
    </w:p>
    <w:p>
      <w:pPr>
        <w:pStyle w:val="ListBullet"/>
        <w:spacing w:before="0" w:after="60" w:line="264" w:lineRule="auto"/>
      </w:pPr>
      <w:r>
        <w:rPr>
          <w:rFonts w:ascii="Calibri" w:hAnsi="Calibri"/>
          <w:b w:val="0"/>
          <w:i w:val="0"/>
          <w:color w:val="1F2937"/>
          <w:sz w:val="22"/>
        </w:rPr>
        <w:t xml:space="preserve">Implemented: SCD Type 1</w:t>
      </w:r>
    </w:p>
    <w:p>
      <w:pPr>
        <w:pStyle w:val="ListBullet"/>
        <w:spacing w:before="0" w:after="60" w:line="264" w:lineRule="auto"/>
      </w:pPr>
      <w:r>
        <w:rPr>
          <w:rFonts w:ascii="Calibri" w:hAnsi="Calibri"/>
          <w:b w:val="0"/>
          <w:i w:val="0"/>
          <w:color w:val="1F2937"/>
          <w:sz w:val="22"/>
        </w:rPr>
        <w:t xml:space="preserve">Implemented: SCD Type 2</w:t>
      </w:r>
    </w:p>
    <w:p>
      <w:pPr>
        <w:pStyle w:val="ListBullet"/>
        <w:spacing w:before="0" w:after="60" w:line="264" w:lineRule="auto"/>
      </w:pPr>
      <w:r>
        <w:rPr>
          <w:rFonts w:ascii="Calibri" w:hAnsi="Calibri"/>
          <w:b w:val="0"/>
          <w:i w:val="0"/>
          <w:color w:val="1F2937"/>
          <w:sz w:val="22"/>
        </w:rPr>
        <w:t xml:space="preserve">Implemented: Airflow</w:t>
      </w:r>
    </w:p>
    <w:p>
      <w:pPr>
        <w:pStyle w:val="ListBullet"/>
        <w:spacing w:before="0" w:after="60" w:line="264" w:lineRule="auto"/>
      </w:pPr>
      <w:r>
        <w:rPr>
          <w:rFonts w:ascii="Calibri" w:hAnsi="Calibri"/>
          <w:b w:val="0"/>
          <w:i w:val="0"/>
          <w:color w:val="1F2937"/>
          <w:sz w:val="22"/>
        </w:rPr>
        <w:t xml:space="preserve">Implemented: FastAPI APIs</w:t>
      </w:r>
    </w:p>
    <w:p>
      <w:pPr>
        <w:pStyle w:val="ListBullet"/>
        <w:spacing w:before="0" w:after="60" w:line="264" w:lineRule="auto"/>
      </w:pPr>
      <w:r>
        <w:rPr>
          <w:rFonts w:ascii="Calibri" w:hAnsi="Calibri"/>
          <w:b w:val="0"/>
          <w:i w:val="0"/>
          <w:color w:val="1F2937"/>
          <w:sz w:val="22"/>
        </w:rPr>
        <w:t xml:space="preserve">Implemented: Business Intelligence Dashboard</w:t>
      </w:r>
    </w:p>
    <w:p>
      <w:pPr>
        <w:pStyle w:val="ListBullet"/>
        <w:spacing w:before="0" w:after="60" w:line="264" w:lineRule="auto"/>
      </w:pPr>
      <w:r>
        <w:rPr>
          <w:rFonts w:ascii="Calibri" w:hAnsi="Calibri"/>
          <w:b w:val="0"/>
          <w:i w:val="0"/>
          <w:color w:val="1F2937"/>
          <w:sz w:val="22"/>
        </w:rPr>
        <w:t xml:space="preserve">Implemented: Data Quality Center</w:t>
      </w:r>
    </w:p>
    <w:p>
      <w:pPr>
        <w:pStyle w:val="ListBullet"/>
        <w:spacing w:before="0" w:after="60" w:line="264" w:lineRule="auto"/>
      </w:pPr>
      <w:r>
        <w:rPr>
          <w:rFonts w:ascii="Calibri" w:hAnsi="Calibri"/>
          <w:b w:val="0"/>
          <w:i w:val="0"/>
          <w:color w:val="1F2937"/>
          <w:sz w:val="22"/>
        </w:rPr>
        <w:t xml:space="preserve">Implemented: Responsive Dashboard Design</w:t>
      </w:r>
    </w:p>
    <w:p>
      <w:pPr>
        <w:pStyle w:val="ListBullet"/>
        <w:spacing w:before="0" w:after="60" w:line="264" w:lineRule="auto"/>
      </w:pPr>
      <w:r>
        <w:rPr>
          <w:rFonts w:ascii="Calibri" w:hAnsi="Calibri"/>
          <w:b w:val="0"/>
          <w:i w:val="0"/>
          <w:color w:val="1F2937"/>
          <w:sz w:val="22"/>
        </w:rPr>
        <w:t xml:space="preserve">Implemented: Startup Automation Scripts</w:t>
      </w:r>
    </w:p>
    <w:p>
      <w:pPr>
        <w:spacing w:before="0" w:after="120" w:line="264" w:lineRule="auto"/>
      </w:pPr>
      <w:r>
        <w:rPr>
          <w:rFonts w:ascii="Calibri" w:hAnsi="Calibri"/>
          <w:b w:val="0"/>
          <w:i w:val="0"/>
          <w:color w:val="1F2937"/>
          <w:sz w:val="22"/>
        </w:rPr>
        <w:t xml:space="preserve">The resulting platform provides traceable ingestion, clean and reusable dimensional data, business metrics, observable pipeline status, declarative data quality validation, and a concrete demonstration of customer history management, all presented through a governed API and an executive-ready dashboard.</w:t>
      </w:r>
    </w:p>
    <w:sectPr w:rsidR="00FC693F" w:rsidRPr="0006063C" w:rsidSect="00034616">
      <w:footerReference w:type="default" r:id="rId9"/>
      <w:pgSz w:w="12240" w:h="15840"/>
      <w:pgMar w:top="1224"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B7280"/>
        <w:sz w:val="18"/>
      </w:rP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fig_executive_dashboard.png"/><Relationship Id="rId14" Type="http://schemas.openxmlformats.org/officeDocument/2006/relationships/image" Target="media/fig_category_ranking.png"/><Relationship Id="rId15" Type="http://schemas.openxmlformats.org/officeDocument/2006/relationships/image" Target="media/fig_category_momentum.png"/><Relationship Id="rId16" Type="http://schemas.openxmlformats.org/officeDocument/2006/relationships/image" Target="media/fig_data_quality_center.png"/><Relationship Id="rId17" Type="http://schemas.openxmlformats.org/officeDocument/2006/relationships/image" Target="media/fig_pipeline_health.png"/><Relationship Id="rId18" Type="http://schemas.openxmlformats.org/officeDocument/2006/relationships/image" Target="media/fig_dataset_explorer.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Engineering PoC - Olist E-Commerce Data Warehouse</dc:title>
  <dc:subject>Internship project documentation</dc:subject>
  <dc:creator>Sudharsan S A</dc:creator>
  <cp:keywords/>
  <dc:description>generated by python-docx</dc:description>
  <cp:lastModifiedBy/>
  <cp:revision>1</cp:revision>
  <dcterms:created xsi:type="dcterms:W3CDTF">2013-12-23T23:15:00Z</dcterms:created>
  <dcterms:modified xsi:type="dcterms:W3CDTF">2013-12-23T23:15:00Z</dcterms:modified>
  <cp:category/>
</cp:coreProperties>
</file>