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1D2" w:rsidRDefault="007101D2" w:rsidP="007101D2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54264">
        <w:rPr>
          <w:rFonts w:cs="Tahoma"/>
          <w:b/>
          <w:color w:val="FF0000"/>
          <w:sz w:val="24"/>
          <w:szCs w:val="24"/>
          <w:u w:val="single"/>
        </w:rPr>
        <w:t>Mezinárodní_dělba_práce</w:t>
      </w:r>
      <w:r w:rsidRPr="007101D2">
        <w:rPr>
          <w:rFonts w:cs="Tahoma"/>
          <w:color w:val="333333"/>
          <w:sz w:val="24"/>
          <w:szCs w:val="24"/>
        </w:rPr>
        <w:br/>
      </w:r>
      <w:r w:rsidRPr="007101D2">
        <w:rPr>
          <w:rFonts w:cs="Arial"/>
          <w:sz w:val="24"/>
          <w:szCs w:val="24"/>
        </w:rPr>
        <w:t xml:space="preserve">Nová </w:t>
      </w:r>
      <w:r w:rsidRPr="007101D2">
        <w:rPr>
          <w:rFonts w:cs="Arial,Bold"/>
          <w:bCs/>
          <w:sz w:val="24"/>
          <w:szCs w:val="24"/>
        </w:rPr>
        <w:t xml:space="preserve">mezinárodní dělba práce </w:t>
      </w:r>
      <w:r w:rsidRPr="007101D2">
        <w:rPr>
          <w:rFonts w:cs="Arial"/>
          <w:sz w:val="24"/>
          <w:szCs w:val="24"/>
        </w:rPr>
        <w:t xml:space="preserve">má v různých regionech světa odlišné dopady. Ve vyspělých zemích světového jádra dochází v důsledku přemisťování primárních výrob do rozvojových zemí k </w:t>
      </w:r>
      <w:proofErr w:type="spellStart"/>
      <w:r w:rsidRPr="007101D2">
        <w:rPr>
          <w:rFonts w:cs="Arial,Bold"/>
          <w:bCs/>
          <w:sz w:val="24"/>
          <w:szCs w:val="24"/>
        </w:rPr>
        <w:t>deindustrializaci</w:t>
      </w:r>
      <w:proofErr w:type="spellEnd"/>
      <w:r>
        <w:rPr>
          <w:rFonts w:cs="Arial"/>
          <w:sz w:val="24"/>
          <w:szCs w:val="24"/>
        </w:rPr>
        <w:t xml:space="preserve">, která má výrazný vliv na růst </w:t>
      </w:r>
      <w:r w:rsidRPr="007101D2">
        <w:rPr>
          <w:rFonts w:cs="Arial"/>
          <w:sz w:val="24"/>
          <w:szCs w:val="24"/>
        </w:rPr>
        <w:t>nezaměstnanosti. Na druhé straně se zde koncentrují</w:t>
      </w:r>
      <w:r>
        <w:rPr>
          <w:rFonts w:cs="Arial"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ředitelství nadnárodních společností, oddělení výzkumu a vývoje a technologicky náročná odvětví. V</w:t>
      </w:r>
      <w:r>
        <w:rPr>
          <w:rFonts w:cs="Arial"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jádrových oblastech vyspělých zemí tak výrazně rostou především</w:t>
      </w:r>
      <w:r>
        <w:rPr>
          <w:rFonts w:cs="Arial"/>
          <w:sz w:val="24"/>
          <w:szCs w:val="24"/>
        </w:rPr>
        <w:t xml:space="preserve"> výrobní služby, zahrnující služ</w:t>
      </w:r>
      <w:r w:rsidRPr="007101D2">
        <w:rPr>
          <w:rFonts w:cs="Arial"/>
          <w:sz w:val="24"/>
          <w:szCs w:val="24"/>
        </w:rPr>
        <w:t>by</w:t>
      </w:r>
      <w:r>
        <w:rPr>
          <w:rFonts w:cs="Arial"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finanční (banky, pojišťovny, investiční společnosti) a dalš</w:t>
      </w:r>
      <w:r>
        <w:rPr>
          <w:rFonts w:cs="Arial"/>
          <w:sz w:val="24"/>
          <w:szCs w:val="24"/>
        </w:rPr>
        <w:t>í služ</w:t>
      </w:r>
      <w:r w:rsidRPr="007101D2">
        <w:rPr>
          <w:rFonts w:cs="Arial"/>
          <w:sz w:val="24"/>
          <w:szCs w:val="24"/>
        </w:rPr>
        <w:t>by pro podniky (realitní, poradenské,</w:t>
      </w:r>
      <w:r>
        <w:rPr>
          <w:rFonts w:cs="Arial"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právní a účetní firmy, reklamní agentury, apod.).</w:t>
      </w:r>
    </w:p>
    <w:p w:rsidR="007101D2" w:rsidRDefault="007101D2" w:rsidP="007101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cs="Tahoma"/>
          <w:color w:val="333333"/>
          <w:sz w:val="24"/>
          <w:szCs w:val="24"/>
        </w:rPr>
      </w:pPr>
      <w:r w:rsidRPr="007101D2">
        <w:rPr>
          <w:rFonts w:cs="Arial"/>
          <w:sz w:val="24"/>
          <w:szCs w:val="24"/>
        </w:rPr>
        <w:t xml:space="preserve">Ekonomická globalizace je zprostředkovávána především skrze tzv. </w:t>
      </w:r>
      <w:r w:rsidRPr="007101D2">
        <w:rPr>
          <w:rFonts w:cs="Arial,Bold"/>
          <w:bCs/>
          <w:sz w:val="24"/>
          <w:szCs w:val="24"/>
        </w:rPr>
        <w:t>přímé zahraniční investice</w:t>
      </w:r>
      <w:r>
        <w:rPr>
          <w:rFonts w:cs="Arial,Bold"/>
          <w:b/>
          <w:bCs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 xml:space="preserve">(=FDI; </w:t>
      </w:r>
      <w:proofErr w:type="spellStart"/>
      <w:r w:rsidRPr="007101D2">
        <w:rPr>
          <w:rFonts w:cs="Arial"/>
          <w:sz w:val="24"/>
          <w:szCs w:val="24"/>
        </w:rPr>
        <w:t>foreign</w:t>
      </w:r>
      <w:proofErr w:type="spellEnd"/>
      <w:r w:rsidRPr="007101D2">
        <w:rPr>
          <w:rFonts w:cs="Arial"/>
          <w:sz w:val="24"/>
          <w:szCs w:val="24"/>
        </w:rPr>
        <w:t xml:space="preserve"> </w:t>
      </w:r>
      <w:proofErr w:type="spellStart"/>
      <w:r w:rsidRPr="007101D2">
        <w:rPr>
          <w:rFonts w:cs="Arial"/>
          <w:sz w:val="24"/>
          <w:szCs w:val="24"/>
        </w:rPr>
        <w:t>direct</w:t>
      </w:r>
      <w:proofErr w:type="spellEnd"/>
      <w:r w:rsidRPr="007101D2">
        <w:rPr>
          <w:rFonts w:cs="Arial"/>
          <w:sz w:val="24"/>
          <w:szCs w:val="24"/>
        </w:rPr>
        <w:t xml:space="preserve"> </w:t>
      </w:r>
      <w:proofErr w:type="spellStart"/>
      <w:r w:rsidRPr="007101D2">
        <w:rPr>
          <w:rFonts w:cs="Arial"/>
          <w:sz w:val="24"/>
          <w:szCs w:val="24"/>
        </w:rPr>
        <w:t>investments</w:t>
      </w:r>
      <w:proofErr w:type="spellEnd"/>
      <w:r w:rsidRPr="007101D2">
        <w:rPr>
          <w:rFonts w:cs="Arial"/>
          <w:sz w:val="24"/>
          <w:szCs w:val="24"/>
        </w:rPr>
        <w:t xml:space="preserve">). Jsou sice pouze jedním z mnoha, nicméně velice </w:t>
      </w:r>
      <w:r>
        <w:rPr>
          <w:rFonts w:cs="Arial"/>
          <w:sz w:val="24"/>
          <w:szCs w:val="24"/>
        </w:rPr>
        <w:t>důležitým</w:t>
      </w:r>
      <w:r>
        <w:rPr>
          <w:rFonts w:cs="Arial,Bold"/>
          <w:b/>
          <w:bCs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ukazatelem aktivit a prostorového rozlo</w:t>
      </w:r>
      <w:r>
        <w:rPr>
          <w:rFonts w:cs="Arial"/>
          <w:sz w:val="24"/>
          <w:szCs w:val="24"/>
        </w:rPr>
        <w:t>ž</w:t>
      </w:r>
      <w:r w:rsidRPr="007101D2">
        <w:rPr>
          <w:rFonts w:cs="Arial"/>
          <w:sz w:val="24"/>
          <w:szCs w:val="24"/>
        </w:rPr>
        <w:t>ení nadnárodních společností (nezahrnují další formy a</w:t>
      </w:r>
      <w:r>
        <w:rPr>
          <w:rFonts w:cs="Arial,Bold"/>
          <w:b/>
          <w:bCs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postupy, pomocí kterých si TNC organizují mezinárodní produkci – např. různé typy aliancí či smluv</w:t>
      </w:r>
      <w:r>
        <w:rPr>
          <w:rFonts w:cs="Arial,Bold"/>
          <w:b/>
          <w:bCs/>
          <w:sz w:val="24"/>
          <w:szCs w:val="24"/>
        </w:rPr>
        <w:t xml:space="preserve"> </w:t>
      </w:r>
      <w:r w:rsidRPr="007101D2">
        <w:rPr>
          <w:rFonts w:cs="Arial"/>
          <w:sz w:val="24"/>
          <w:szCs w:val="24"/>
        </w:rPr>
        <w:t>exkluzivní spolupráce).</w:t>
      </w:r>
      <w:r w:rsidRPr="007101D2">
        <w:rPr>
          <w:rFonts w:cs="Tahoma"/>
          <w:color w:val="333333"/>
          <w:sz w:val="24"/>
          <w:szCs w:val="24"/>
        </w:rPr>
        <w:br/>
      </w:r>
    </w:p>
    <w:p w:rsidR="00CD7467" w:rsidRPr="00D54264" w:rsidRDefault="00CD7467" w:rsidP="007101D2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Arial,Bold"/>
          <w:b/>
          <w:bCs/>
          <w:color w:val="FF0000"/>
          <w:sz w:val="24"/>
          <w:szCs w:val="24"/>
          <w:u w:val="single"/>
        </w:rPr>
      </w:pPr>
      <w:r w:rsidRPr="00D54264">
        <w:rPr>
          <w:rFonts w:cs="Tahoma"/>
          <w:b/>
          <w:color w:val="FF0000"/>
          <w:sz w:val="24"/>
          <w:szCs w:val="24"/>
          <w:u w:val="single"/>
        </w:rPr>
        <w:t>Industrializace</w:t>
      </w:r>
    </w:p>
    <w:p w:rsidR="00CD7467" w:rsidRDefault="00CD7467" w:rsidP="00CD7467">
      <w:pPr>
        <w:pStyle w:val="Odstavecseseznamem"/>
        <w:autoSpaceDE w:val="0"/>
        <w:autoSpaceDN w:val="0"/>
        <w:adjustRightInd w:val="0"/>
        <w:spacing w:after="0" w:line="240" w:lineRule="auto"/>
        <w:rPr>
          <w:rFonts w:cs="Tahoma"/>
          <w:color w:val="333333"/>
          <w:sz w:val="24"/>
          <w:szCs w:val="24"/>
        </w:rPr>
      </w:pPr>
      <w:r>
        <w:rPr>
          <w:rFonts w:cs="Tahoma"/>
          <w:color w:val="333333"/>
          <w:sz w:val="24"/>
          <w:szCs w:val="24"/>
        </w:rPr>
        <w:t xml:space="preserve">- </w:t>
      </w:r>
      <w:r w:rsidRPr="00CD7467">
        <w:rPr>
          <w:rFonts w:cs="Tahoma"/>
          <w:color w:val="333333"/>
          <w:sz w:val="24"/>
          <w:szCs w:val="24"/>
        </w:rPr>
        <w:t>proces, během něhož dochází ke změně společnosti. Předprůmyslová společnost se tímto mění v</w:t>
      </w:r>
      <w:r>
        <w:rPr>
          <w:rFonts w:cs="Tahoma"/>
          <w:color w:val="333333"/>
          <w:sz w:val="24"/>
          <w:szCs w:val="24"/>
        </w:rPr>
        <w:t> </w:t>
      </w:r>
      <w:r w:rsidRPr="00CD7467">
        <w:rPr>
          <w:rFonts w:cs="Tahoma"/>
          <w:color w:val="333333"/>
          <w:sz w:val="24"/>
          <w:szCs w:val="24"/>
        </w:rPr>
        <w:t>průmyslovou</w:t>
      </w:r>
    </w:p>
    <w:p w:rsidR="00CD7467" w:rsidRDefault="00CD7467" w:rsidP="00CD7467">
      <w:pPr>
        <w:pStyle w:val="Odstavecseseznamem"/>
        <w:autoSpaceDE w:val="0"/>
        <w:autoSpaceDN w:val="0"/>
        <w:adjustRightInd w:val="0"/>
        <w:spacing w:after="0" w:line="240" w:lineRule="auto"/>
        <w:rPr>
          <w:rFonts w:cs="Tahoma"/>
          <w:color w:val="333333"/>
          <w:sz w:val="24"/>
          <w:szCs w:val="24"/>
        </w:rPr>
      </w:pPr>
      <w:r>
        <w:rPr>
          <w:rFonts w:cs="Tahoma"/>
          <w:color w:val="333333"/>
          <w:sz w:val="24"/>
          <w:szCs w:val="24"/>
        </w:rPr>
        <w:t>- příčiny vzniku: hromadění kapitálu, uvolnění pracovní síly, technický rozvoj</w:t>
      </w:r>
    </w:p>
    <w:p w:rsidR="00CD7467" w:rsidRDefault="00CD7467" w:rsidP="00CD7467">
      <w:pPr>
        <w:pStyle w:val="Odstavecseseznamem"/>
        <w:autoSpaceDE w:val="0"/>
        <w:autoSpaceDN w:val="0"/>
        <w:adjustRightInd w:val="0"/>
        <w:spacing w:after="0" w:line="240" w:lineRule="auto"/>
        <w:rPr>
          <w:rFonts w:cs="Tahoma"/>
          <w:color w:val="333333"/>
          <w:sz w:val="24"/>
          <w:szCs w:val="24"/>
        </w:rPr>
      </w:pPr>
    </w:p>
    <w:p w:rsidR="00CD7467" w:rsidRPr="00CD7467" w:rsidRDefault="00CD7467" w:rsidP="00CD7467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</w:pPr>
      <w:r w:rsidRPr="00D54264">
        <w:rPr>
          <w:rFonts w:cs="Tahoma"/>
          <w:b/>
          <w:color w:val="FF0000"/>
          <w:sz w:val="24"/>
          <w:szCs w:val="24"/>
          <w:u w:val="single"/>
        </w:rPr>
        <w:t>Globalizace</w:t>
      </w:r>
      <w:r>
        <w:rPr>
          <w:rFonts w:cs="Tahoma"/>
          <w:color w:val="333333"/>
          <w:sz w:val="24"/>
          <w:szCs w:val="24"/>
        </w:rPr>
        <w:br/>
        <w:t xml:space="preserve">- </w:t>
      </w:r>
      <w:r w:rsidRPr="00CD7467">
        <w:rPr>
          <w:rFonts w:cs="Tahoma"/>
          <w:color w:val="333333"/>
          <w:sz w:val="24"/>
          <w:szCs w:val="24"/>
        </w:rPr>
        <w:t>Definovat pojem globalizace je poměrně obtížné. Jde o frekventovaný a často nadužívaný pojem, se kterým pracují jednotliví autoři rozdílnými způsoby.</w:t>
      </w:r>
      <w:r>
        <w:rPr>
          <w:rFonts w:cs="Tahoma"/>
          <w:color w:val="333333"/>
          <w:sz w:val="24"/>
          <w:szCs w:val="24"/>
        </w:rPr>
        <w:br/>
      </w:r>
      <w:r w:rsidRPr="00CD7467">
        <w:rPr>
          <w:rFonts w:cs="Tahoma"/>
          <w:color w:val="333333"/>
          <w:sz w:val="24"/>
          <w:szCs w:val="24"/>
        </w:rPr>
        <w:t>Globalizaci můžeme definovat jako proces, ve kterém události či aktivity či rozhodnutí odehrávající se v jedné části světa mají významný dopad na komunity v jiném, vzdáleném místě.</w:t>
      </w:r>
      <w:r w:rsidR="00DB25CD" w:rsidRPr="007101D2">
        <w:rPr>
          <w:rFonts w:cs="Tahoma"/>
          <w:color w:val="333333"/>
          <w:sz w:val="24"/>
          <w:szCs w:val="24"/>
        </w:rPr>
        <w:br/>
      </w:r>
      <w:r w:rsidR="007101D2" w:rsidRPr="00DB25CD">
        <w:rPr>
          <w:rFonts w:ascii="Tahoma" w:hAnsi="Tahoma" w:cs="Tahoma"/>
          <w:color w:val="333333"/>
          <w:sz w:val="20"/>
          <w:szCs w:val="20"/>
        </w:rPr>
        <w:t xml:space="preserve"> </w:t>
      </w:r>
    </w:p>
    <w:p w:rsidR="00F14A39" w:rsidRPr="00D54264" w:rsidRDefault="00F14A39" w:rsidP="00F14A39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color w:val="FF0000"/>
          <w:sz w:val="24"/>
          <w:szCs w:val="24"/>
          <w:u w:val="single"/>
        </w:rPr>
      </w:pPr>
      <w:r w:rsidRPr="00D54264">
        <w:rPr>
          <w:rFonts w:cs="Tahoma"/>
          <w:b/>
          <w:color w:val="FF0000"/>
          <w:sz w:val="24"/>
          <w:szCs w:val="24"/>
          <w:u w:val="single"/>
        </w:rPr>
        <w:t>Urbanizace</w:t>
      </w:r>
    </w:p>
    <w:p w:rsidR="00F14A39" w:rsidRPr="00F14A39" w:rsidRDefault="00CD7467" w:rsidP="00F14A39">
      <w:pPr>
        <w:pStyle w:val="Odstavecseseznamem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14A39">
        <w:rPr>
          <w:rFonts w:cs="Tahoma"/>
          <w:color w:val="333333"/>
          <w:sz w:val="24"/>
          <w:szCs w:val="24"/>
        </w:rPr>
        <w:t xml:space="preserve"> proces koncentrace</w:t>
      </w:r>
      <w:r w:rsidR="00F14A39" w:rsidRPr="00F14A39">
        <w:rPr>
          <w:rFonts w:cs="Tahoma"/>
          <w:color w:val="333333"/>
          <w:sz w:val="24"/>
          <w:szCs w:val="24"/>
        </w:rPr>
        <w:t xml:space="preserve"> obyvatel</w:t>
      </w:r>
      <w:r w:rsidRPr="00F14A39">
        <w:rPr>
          <w:rFonts w:cs="Tahoma"/>
          <w:color w:val="333333"/>
          <w:sz w:val="24"/>
          <w:szCs w:val="24"/>
        </w:rPr>
        <w:t xml:space="preserve"> do měst</w:t>
      </w:r>
      <w:r w:rsidR="00F14A39" w:rsidRPr="00F14A39">
        <w:rPr>
          <w:rFonts w:cs="Tahoma"/>
          <w:color w:val="333333"/>
          <w:sz w:val="24"/>
          <w:szCs w:val="24"/>
        </w:rPr>
        <w:t xml:space="preserve"> a s tím související změny kultury v nejširším slova smyslu. </w:t>
      </w:r>
    </w:p>
    <w:p w:rsidR="00F14A39" w:rsidRPr="00F14A39" w:rsidRDefault="00F14A39" w:rsidP="00F14A39">
      <w:pPr>
        <w:pStyle w:val="Odstavecseseznamem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14A39">
        <w:rPr>
          <w:rFonts w:cs="Tahoma"/>
          <w:color w:val="333333"/>
          <w:sz w:val="24"/>
          <w:szCs w:val="24"/>
        </w:rPr>
        <w:t>Míra urbanizace lze číselně vyjádřit jako podíl o</w:t>
      </w:r>
      <w:r>
        <w:rPr>
          <w:rFonts w:cs="Tahoma"/>
          <w:color w:val="333333"/>
          <w:sz w:val="24"/>
          <w:szCs w:val="24"/>
        </w:rPr>
        <w:t xml:space="preserve">byvatelstva žijícího ve městech </w:t>
      </w:r>
      <w:r w:rsidRPr="00F14A39">
        <w:rPr>
          <w:rFonts w:cs="Tahoma"/>
          <w:color w:val="333333"/>
          <w:sz w:val="24"/>
          <w:szCs w:val="24"/>
        </w:rPr>
        <w:t>oproti celkovému počtu.</w:t>
      </w:r>
    </w:p>
    <w:p w:rsidR="00F14A39" w:rsidRPr="00F14A39" w:rsidRDefault="00F14A39" w:rsidP="00F14A39">
      <w:pPr>
        <w:pStyle w:val="Odstavecseseznamem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ahoma"/>
          <w:color w:val="333333"/>
          <w:sz w:val="24"/>
          <w:szCs w:val="24"/>
        </w:rPr>
      </w:pPr>
      <w:r w:rsidRPr="00F14A39">
        <w:rPr>
          <w:rFonts w:cs="Tahoma"/>
          <w:color w:val="333333"/>
          <w:sz w:val="24"/>
          <w:szCs w:val="24"/>
        </w:rPr>
        <w:t>změna prostorových forem organizace společnosti</w:t>
      </w:r>
    </w:p>
    <w:p w:rsidR="00F14A39" w:rsidRPr="00F14A39" w:rsidRDefault="00F14A39" w:rsidP="00F14A39">
      <w:pPr>
        <w:pStyle w:val="Odstavecseseznamem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14A39">
        <w:rPr>
          <w:rFonts w:cs="Tahoma"/>
          <w:color w:val="333333"/>
          <w:sz w:val="24"/>
          <w:szCs w:val="24"/>
        </w:rPr>
        <w:t>zvyšování počtu lidí, žijící městským způsobem života</w:t>
      </w:r>
      <w:r>
        <w:rPr>
          <w:rFonts w:cs="Tahoma"/>
          <w:color w:val="333333"/>
          <w:sz w:val="24"/>
          <w:szCs w:val="24"/>
        </w:rPr>
        <w:br/>
      </w:r>
    </w:p>
    <w:p w:rsidR="00F14A39" w:rsidRPr="00D54264" w:rsidRDefault="00F14A39" w:rsidP="00CD7467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b/>
          <w:color w:val="FF0000"/>
          <w:sz w:val="24"/>
          <w:szCs w:val="24"/>
          <w:u w:val="single"/>
        </w:rPr>
      </w:pPr>
      <w:proofErr w:type="spellStart"/>
      <w:r w:rsidRPr="00D54264">
        <w:rPr>
          <w:b/>
          <w:color w:val="FF0000"/>
          <w:sz w:val="24"/>
          <w:szCs w:val="24"/>
          <w:u w:val="single"/>
        </w:rPr>
        <w:t>Reurbanizace</w:t>
      </w:r>
      <w:proofErr w:type="spellEnd"/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 xml:space="preserve">= pro </w:t>
      </w:r>
      <w:proofErr w:type="spellStart"/>
      <w:r w:rsidRPr="00F14A39">
        <w:rPr>
          <w:sz w:val="24"/>
          <w:szCs w:val="24"/>
        </w:rPr>
        <w:t>reurbanizaci</w:t>
      </w:r>
      <w:proofErr w:type="spellEnd"/>
      <w:r w:rsidRPr="00F14A39">
        <w:rPr>
          <w:sz w:val="24"/>
          <w:szCs w:val="24"/>
        </w:rPr>
        <w:t xml:space="preserve"> jsou typické oživovací procesy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dochází k obnovování obytných funkcí v centrech měst, ke změnám zaniklých či upadajících</w:t>
      </w:r>
      <w:r>
        <w:rPr>
          <w:sz w:val="24"/>
          <w:szCs w:val="24"/>
        </w:rPr>
        <w:t xml:space="preserve"> </w:t>
      </w:r>
      <w:r w:rsidRPr="00F14A39">
        <w:rPr>
          <w:sz w:val="24"/>
          <w:szCs w:val="24"/>
        </w:rPr>
        <w:t>průmyslových prostor na administrativně-obchodní centra, či ke vzniku nových odpočinkových zón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proofErr w:type="spellStart"/>
      <w:r w:rsidRPr="00F14A39">
        <w:rPr>
          <w:sz w:val="24"/>
          <w:szCs w:val="24"/>
        </w:rPr>
        <w:t>reurbanizace</w:t>
      </w:r>
      <w:proofErr w:type="spellEnd"/>
      <w:r w:rsidRPr="00F14A39">
        <w:rPr>
          <w:sz w:val="24"/>
          <w:szCs w:val="24"/>
        </w:rPr>
        <w:t xml:space="preserve"> probíhá selektivně (neprobíhá naráz)</w:t>
      </w:r>
    </w:p>
    <w:p w:rsid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 xml:space="preserve">procesy typické pro </w:t>
      </w:r>
      <w:proofErr w:type="spellStart"/>
      <w:r w:rsidRPr="00F14A39">
        <w:rPr>
          <w:sz w:val="24"/>
          <w:szCs w:val="24"/>
        </w:rPr>
        <w:t>reurbanizaci</w:t>
      </w:r>
      <w:proofErr w:type="spellEnd"/>
      <w:r w:rsidRPr="00F14A39">
        <w:rPr>
          <w:sz w:val="24"/>
          <w:szCs w:val="24"/>
        </w:rPr>
        <w:t xml:space="preserve">: </w:t>
      </w:r>
      <w:proofErr w:type="spellStart"/>
      <w:r w:rsidRPr="00F14A39">
        <w:rPr>
          <w:sz w:val="24"/>
          <w:szCs w:val="24"/>
        </w:rPr>
        <w:t>gentrifikace</w:t>
      </w:r>
      <w:proofErr w:type="spellEnd"/>
      <w:r w:rsidRPr="00F14A39">
        <w:rPr>
          <w:sz w:val="24"/>
          <w:szCs w:val="24"/>
        </w:rPr>
        <w:t xml:space="preserve"> (postupné vytlačování původního obyvatelstva z centra měst a jeho nahrazování movitějšími rezidenty či lukrativnějšími obchodními čtvrtěmi), komercionalizace</w:t>
      </w:r>
      <w:r>
        <w:rPr>
          <w:sz w:val="24"/>
          <w:szCs w:val="24"/>
        </w:rPr>
        <w:br/>
      </w:r>
    </w:p>
    <w:p w:rsidR="00F14A39" w:rsidRDefault="00F14A39" w:rsidP="00F14A39">
      <w:pPr>
        <w:pStyle w:val="Odstavecseseznamem"/>
        <w:autoSpaceDE w:val="0"/>
        <w:autoSpaceDN w:val="0"/>
        <w:adjustRightInd w:val="0"/>
        <w:spacing w:after="0" w:line="240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:rsidR="00F14A39" w:rsidRPr="00D54264" w:rsidRDefault="00F14A39" w:rsidP="00F14A39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b/>
          <w:color w:val="FF0000"/>
          <w:sz w:val="24"/>
          <w:szCs w:val="24"/>
          <w:u w:val="single"/>
        </w:rPr>
      </w:pPr>
      <w:proofErr w:type="spellStart"/>
      <w:r w:rsidRPr="00D54264">
        <w:rPr>
          <w:b/>
          <w:color w:val="FF0000"/>
          <w:sz w:val="24"/>
          <w:szCs w:val="24"/>
          <w:u w:val="single"/>
        </w:rPr>
        <w:lastRenderedPageBreak/>
        <w:t>Suburbanizace</w:t>
      </w:r>
      <w:proofErr w:type="spellEnd"/>
    </w:p>
    <w:p w:rsid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Proces stěhování z jádrového města do jeho zázemí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rozšiřování městské zástavby dále do prostoru, růst počtu obyvatel okrajových částí města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 xml:space="preserve">problém: </w:t>
      </w:r>
      <w:proofErr w:type="spellStart"/>
      <w:r w:rsidRPr="00F14A39">
        <w:rPr>
          <w:sz w:val="24"/>
          <w:szCs w:val="24"/>
        </w:rPr>
        <w:t>urban</w:t>
      </w:r>
      <w:proofErr w:type="spellEnd"/>
      <w:r w:rsidRPr="00F14A39">
        <w:rPr>
          <w:sz w:val="24"/>
          <w:szCs w:val="24"/>
        </w:rPr>
        <w:t xml:space="preserve"> </w:t>
      </w:r>
      <w:proofErr w:type="spellStart"/>
      <w:r w:rsidRPr="00F14A39">
        <w:rPr>
          <w:sz w:val="24"/>
          <w:szCs w:val="24"/>
        </w:rPr>
        <w:t>sprawl</w:t>
      </w:r>
      <w:proofErr w:type="spellEnd"/>
      <w:r w:rsidRPr="00F14A39">
        <w:rPr>
          <w:sz w:val="24"/>
          <w:szCs w:val="24"/>
        </w:rPr>
        <w:t xml:space="preserve"> (sídelní kaše, rozlézání města)- rychlé územní rozšiřování měst a vesnic</w:t>
      </w:r>
    </w:p>
    <w:p w:rsid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způsob zástavby, který nebere ohled na další stavby či veřejná prostranství</w:t>
      </w:r>
      <w:r w:rsidRPr="00F14A39">
        <w:rPr>
          <w:sz w:val="24"/>
          <w:szCs w:val="24"/>
        </w:rPr>
        <w:cr/>
      </w:r>
    </w:p>
    <w:p w:rsidR="00F14A39" w:rsidRDefault="00F14A39" w:rsidP="00F14A39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</w:p>
    <w:p w:rsidR="00F14A39" w:rsidRPr="00D54264" w:rsidRDefault="00F14A39" w:rsidP="00F14A39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b/>
          <w:color w:val="FF0000"/>
          <w:sz w:val="24"/>
          <w:szCs w:val="24"/>
          <w:u w:val="single"/>
        </w:rPr>
      </w:pPr>
      <w:proofErr w:type="spellStart"/>
      <w:r w:rsidRPr="00D54264">
        <w:rPr>
          <w:b/>
          <w:color w:val="FF0000"/>
          <w:sz w:val="24"/>
          <w:szCs w:val="24"/>
          <w:u w:val="single"/>
        </w:rPr>
        <w:t>Desurbanizace</w:t>
      </w:r>
      <w:proofErr w:type="spellEnd"/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snižování počtu obyvatel ve městě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obyvatelstvo ubývá kvůli nižší porodnosti a migraci z města (stěhování na venkov apod.)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>tento odliv je typický pro oblasti (aglomerace), v nichž většina o</w:t>
      </w:r>
      <w:r w:rsidR="00783259">
        <w:rPr>
          <w:sz w:val="24"/>
          <w:szCs w:val="24"/>
        </w:rPr>
        <w:t>byvatelstva pracovala v těžkém</w:t>
      </w:r>
      <w:r>
        <w:rPr>
          <w:sz w:val="24"/>
          <w:szCs w:val="24"/>
        </w:rPr>
        <w:t xml:space="preserve"> </w:t>
      </w:r>
      <w:r w:rsidRPr="00F14A39">
        <w:rPr>
          <w:sz w:val="24"/>
          <w:szCs w:val="24"/>
        </w:rPr>
        <w:t>strojírenství nebo těžbě uhlí</w:t>
      </w:r>
    </w:p>
    <w:p w:rsidR="00F14A39" w:rsidRPr="00F14A39" w:rsidRDefault="00F14A39" w:rsidP="00F14A39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14A39">
        <w:rPr>
          <w:sz w:val="24"/>
          <w:szCs w:val="24"/>
        </w:rPr>
        <w:t xml:space="preserve">celkový úbytek obyvatelstva ve městě a jeho růst v </w:t>
      </w:r>
      <w:proofErr w:type="spellStart"/>
      <w:r w:rsidRPr="00F14A39">
        <w:rPr>
          <w:sz w:val="24"/>
          <w:szCs w:val="24"/>
        </w:rPr>
        <w:t>neměstských</w:t>
      </w:r>
      <w:proofErr w:type="spellEnd"/>
      <w:r w:rsidRPr="00F14A39">
        <w:rPr>
          <w:sz w:val="24"/>
          <w:szCs w:val="24"/>
        </w:rPr>
        <w:t xml:space="preserve"> (rurálních) oblastech</w:t>
      </w:r>
    </w:p>
    <w:p w:rsidR="00F14A39" w:rsidRDefault="00F14A39" w:rsidP="00F14A3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color w:val="333333"/>
          <w:sz w:val="20"/>
          <w:szCs w:val="20"/>
        </w:rPr>
      </w:pPr>
    </w:p>
    <w:p w:rsidR="00783259" w:rsidRPr="00D54264" w:rsidRDefault="00783259" w:rsidP="00783259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color w:val="FF0000"/>
          <w:sz w:val="24"/>
          <w:szCs w:val="24"/>
          <w:u w:val="single"/>
        </w:rPr>
      </w:pPr>
      <w:r w:rsidRPr="00D54264">
        <w:rPr>
          <w:rFonts w:cs="Tahoma"/>
          <w:b/>
          <w:color w:val="FF0000"/>
          <w:sz w:val="24"/>
          <w:szCs w:val="24"/>
          <w:u w:val="single"/>
        </w:rPr>
        <w:t>Graf výzkumného procesu</w:t>
      </w:r>
    </w:p>
    <w:p w:rsidR="00783259" w:rsidRDefault="00783259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noProof/>
          <w:color w:val="333333"/>
          <w:sz w:val="20"/>
          <w:szCs w:val="20"/>
          <w:lang w:eastAsia="cs-CZ"/>
        </w:rPr>
        <w:drawing>
          <wp:inline distT="0" distB="0" distL="0" distR="0">
            <wp:extent cx="4019074" cy="3524250"/>
            <wp:effectExtent l="19050" t="0" r="476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634" cy="3526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259" w:rsidRDefault="00783259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Default="00124E36" w:rsidP="00783259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333333"/>
          <w:sz w:val="20"/>
          <w:szCs w:val="20"/>
        </w:rPr>
      </w:pPr>
    </w:p>
    <w:p w:rsidR="00124E36" w:rsidRPr="00D54264" w:rsidRDefault="00124E36" w:rsidP="00124E36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proofErr w:type="spellStart"/>
      <w:r w:rsidRPr="00D54264">
        <w:rPr>
          <w:rFonts w:cs="Tahoma"/>
          <w:b/>
          <w:color w:val="FF0000"/>
          <w:sz w:val="24"/>
          <w:szCs w:val="24"/>
          <w:u w:val="single"/>
        </w:rPr>
        <w:lastRenderedPageBreak/>
        <w:t>Underbounded</w:t>
      </w:r>
      <w:proofErr w:type="spellEnd"/>
      <w:r w:rsidRPr="00D54264">
        <w:rPr>
          <w:rFonts w:cs="Tahoma"/>
          <w:b/>
          <w:color w:val="FF0000"/>
          <w:sz w:val="24"/>
          <w:szCs w:val="24"/>
          <w:u w:val="single"/>
        </w:rPr>
        <w:t xml:space="preserve"> a </w:t>
      </w:r>
      <w:proofErr w:type="spellStart"/>
      <w:r w:rsidRPr="00D54264">
        <w:rPr>
          <w:rFonts w:cs="Tahoma"/>
          <w:b/>
          <w:color w:val="FF0000"/>
          <w:sz w:val="24"/>
          <w:szCs w:val="24"/>
          <w:u w:val="single"/>
        </w:rPr>
        <w:t>over</w:t>
      </w:r>
      <w:proofErr w:type="spellEnd"/>
      <w:r w:rsidRPr="00D54264">
        <w:rPr>
          <w:rFonts w:cs="Tahoma"/>
          <w:b/>
          <w:color w:val="FF0000"/>
          <w:sz w:val="24"/>
          <w:szCs w:val="24"/>
          <w:u w:val="single"/>
        </w:rPr>
        <w:t xml:space="preserve"> </w:t>
      </w:r>
      <w:proofErr w:type="spellStart"/>
      <w:r w:rsidRPr="00D54264">
        <w:rPr>
          <w:rFonts w:cs="Tahoma"/>
          <w:b/>
          <w:color w:val="FF0000"/>
          <w:sz w:val="24"/>
          <w:szCs w:val="24"/>
          <w:u w:val="single"/>
        </w:rPr>
        <w:t>bounded</w:t>
      </w:r>
      <w:proofErr w:type="spellEnd"/>
      <w:r w:rsidRPr="00D54264">
        <w:rPr>
          <w:rFonts w:cs="Tahoma"/>
          <w:b/>
          <w:color w:val="FF0000"/>
          <w:sz w:val="24"/>
          <w:szCs w:val="24"/>
          <w:u w:val="single"/>
        </w:rPr>
        <w:t xml:space="preserve"> city </w:t>
      </w:r>
      <w:r w:rsidR="00DB25CD" w:rsidRPr="00D54264">
        <w:rPr>
          <w:rFonts w:cs="Tahoma"/>
          <w:color w:val="333333"/>
          <w:sz w:val="24"/>
          <w:szCs w:val="24"/>
        </w:rPr>
        <w:br/>
      </w:r>
      <w:r w:rsidRPr="00D54264">
        <w:rPr>
          <w:rFonts w:cs="Tahoma"/>
          <w:color w:val="333333"/>
          <w:sz w:val="24"/>
          <w:szCs w:val="24"/>
        </w:rPr>
        <w:t xml:space="preserve">- </w:t>
      </w:r>
      <w:r w:rsidRPr="00D54264">
        <w:rPr>
          <w:rFonts w:cs="Arial"/>
          <w:sz w:val="24"/>
          <w:szCs w:val="24"/>
        </w:rPr>
        <w:t>Administrativní hranice města se však jen málokdy shodují s fyzickými (funkčními) hranicemi (model tzv. „</w:t>
      </w:r>
      <w:proofErr w:type="spellStart"/>
      <w:r w:rsidRPr="00D54264">
        <w:rPr>
          <w:rFonts w:cs="Arial"/>
          <w:sz w:val="24"/>
          <w:szCs w:val="24"/>
        </w:rPr>
        <w:t>underbounded</w:t>
      </w:r>
      <w:proofErr w:type="spellEnd"/>
      <w:r w:rsidRPr="00D54264">
        <w:rPr>
          <w:rFonts w:cs="Arial"/>
          <w:sz w:val="24"/>
          <w:szCs w:val="24"/>
        </w:rPr>
        <w:t xml:space="preserve"> a </w:t>
      </w:r>
      <w:proofErr w:type="spellStart"/>
      <w:r w:rsidRPr="00D54264">
        <w:rPr>
          <w:rFonts w:cs="Arial"/>
          <w:sz w:val="24"/>
          <w:szCs w:val="24"/>
        </w:rPr>
        <w:t>overbounded</w:t>
      </w:r>
      <w:proofErr w:type="spellEnd"/>
      <w:r w:rsidRPr="00D54264">
        <w:rPr>
          <w:rFonts w:cs="Arial"/>
          <w:sz w:val="24"/>
          <w:szCs w:val="24"/>
        </w:rPr>
        <w:t xml:space="preserve"> city“).</w:t>
      </w:r>
    </w:p>
    <w:p w:rsidR="00D54264" w:rsidRDefault="00D54264" w:rsidP="00124E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24E36" w:rsidRDefault="00124E36" w:rsidP="00124E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124E36">
        <w:rPr>
          <w:rFonts w:ascii="Arial" w:hAnsi="Arial" w:cs="Arial"/>
          <w:sz w:val="20"/>
          <w:szCs w:val="20"/>
        </w:rPr>
        <w:br/>
      </w:r>
      <w:r>
        <w:rPr>
          <w:rFonts w:ascii="Tahoma" w:hAnsi="Tahoma" w:cs="Tahoma"/>
          <w:noProof/>
          <w:color w:val="333333"/>
          <w:lang w:eastAsia="cs-CZ"/>
        </w:rPr>
        <w:drawing>
          <wp:inline distT="0" distB="0" distL="0" distR="0">
            <wp:extent cx="2835447" cy="1819275"/>
            <wp:effectExtent l="19050" t="0" r="3003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447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E36" w:rsidRDefault="00124E36" w:rsidP="00124E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24E36" w:rsidRPr="00124E36" w:rsidRDefault="00124E36" w:rsidP="00124E36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4264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Doprava – </w:t>
      </w:r>
      <w:r w:rsidRPr="00D54264">
        <w:rPr>
          <w:rFonts w:cs="Arial"/>
          <w:b/>
          <w:color w:val="FF0000"/>
          <w:sz w:val="24"/>
          <w:szCs w:val="24"/>
          <w:u w:val="single"/>
        </w:rPr>
        <w:t xml:space="preserve">hodnoty P, Q v grafu </w:t>
      </w:r>
      <w:r w:rsidRPr="00D54264">
        <w:rPr>
          <w:rFonts w:cs="Arial"/>
          <w:sz w:val="24"/>
          <w:szCs w:val="24"/>
        </w:rPr>
        <w:t xml:space="preserve">– </w:t>
      </w:r>
      <w:r w:rsidRPr="00D54264">
        <w:rPr>
          <w:rFonts w:cs="Arial"/>
          <w:i/>
          <w:sz w:val="24"/>
          <w:szCs w:val="24"/>
        </w:rPr>
        <w:t>vůbec netuším</w:t>
      </w:r>
      <w:r>
        <w:rPr>
          <w:rFonts w:ascii="Arial" w:hAnsi="Arial" w:cs="Arial"/>
          <w:i/>
          <w:sz w:val="20"/>
          <w:szCs w:val="20"/>
        </w:rPr>
        <w:br/>
      </w:r>
      <w:r>
        <w:rPr>
          <w:rFonts w:ascii="Arial" w:hAnsi="Arial" w:cs="Arial"/>
          <w:i/>
          <w:sz w:val="20"/>
          <w:szCs w:val="20"/>
        </w:rPr>
        <w:br/>
      </w:r>
    </w:p>
    <w:p w:rsidR="00124E36" w:rsidRPr="00D54264" w:rsidRDefault="00D54264" w:rsidP="00124E36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FF0000"/>
          <w:sz w:val="20"/>
          <w:szCs w:val="20"/>
          <w:u w:val="single"/>
        </w:rPr>
      </w:pPr>
      <w:r w:rsidRPr="00D54264">
        <w:rPr>
          <w:rFonts w:ascii="Arial" w:hAnsi="Arial" w:cs="Arial"/>
          <w:b/>
          <w:color w:val="FF0000"/>
          <w:sz w:val="20"/>
          <w:szCs w:val="20"/>
          <w:u w:val="single"/>
        </w:rPr>
        <w:t>Moderní stát</w:t>
      </w:r>
    </w:p>
    <w:p w:rsidR="00D54264" w:rsidRPr="00D54264" w:rsidRDefault="00D54264" w:rsidP="00D54264">
      <w:pPr>
        <w:pStyle w:val="Odstavecseseznamem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 w:rsidRPr="00D54264">
        <w:rPr>
          <w:rFonts w:cs="Arial"/>
          <w:sz w:val="24"/>
          <w:szCs w:val="24"/>
        </w:rPr>
        <w:t>Přívlastek moderní se používá ve snaze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 xml:space="preserve">odlišit dnešní stát od obdobných institucí starověku, středověku a také novověku. </w:t>
      </w:r>
      <w:r w:rsidRPr="00D54264">
        <w:rPr>
          <w:rFonts w:cs="Arial"/>
          <w:sz w:val="24"/>
          <w:szCs w:val="24"/>
        </w:rPr>
        <w:br/>
      </w:r>
      <w:r w:rsidRPr="00D54264">
        <w:rPr>
          <w:rFonts w:cs="Arial"/>
          <w:sz w:val="24"/>
          <w:szCs w:val="24"/>
        </w:rPr>
        <w:t>Základní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charakteristiky moderního státu:</w:t>
      </w:r>
    </w:p>
    <w:p w:rsidR="00D54264" w:rsidRPr="00D54264" w:rsidRDefault="00D54264" w:rsidP="00D54264">
      <w:pPr>
        <w:pStyle w:val="Odstavecseseznamem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54264">
        <w:rPr>
          <w:rFonts w:cs="Arial"/>
          <w:sz w:val="24"/>
          <w:szCs w:val="24"/>
        </w:rPr>
        <w:t xml:space="preserve"> ústavní stát = stát, který má nejen ústavu, ale také jednotný právní řád;</w:t>
      </w:r>
    </w:p>
    <w:p w:rsidR="00D54264" w:rsidRPr="00D54264" w:rsidRDefault="00D54264" w:rsidP="00D54264">
      <w:pPr>
        <w:pStyle w:val="Odstavecseseznamem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54264">
        <w:rPr>
          <w:rFonts w:cs="Arial"/>
          <w:sz w:val="24"/>
          <w:szCs w:val="24"/>
        </w:rPr>
        <w:t xml:space="preserve"> právní stát = stát, v němž má právo primát (panství) nad státem, respektive státní moc je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vázána právem a legalita je podmínkou jakéhokoliv působení státní moci; v právním státě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jsou právem stanovena pravidla chování státních orgánů jako předpoklad ochrany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obyvatelstva před státem samotným, před libovůlí jeho orgánů; principem právního státu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je také existence nezávislého soudce, soudní ochrana práv a svobod;</w:t>
      </w:r>
    </w:p>
    <w:p w:rsidR="00D54264" w:rsidRPr="00D54264" w:rsidRDefault="00D54264" w:rsidP="00D54264">
      <w:pPr>
        <w:pStyle w:val="Odstavecseseznamem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54264">
        <w:rPr>
          <w:rFonts w:cs="Arial"/>
          <w:sz w:val="24"/>
          <w:szCs w:val="24"/>
        </w:rPr>
        <w:t xml:space="preserve"> demokratický stát = stát zajišťující a reprezentující vliv lidu na státní moc a vládu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v podmínkách suverenity lidu, principu legitimity, legální legitimity, dělby moci;</w:t>
      </w:r>
    </w:p>
    <w:p w:rsidR="00D54264" w:rsidRPr="00D54264" w:rsidRDefault="00D54264" w:rsidP="00D54264">
      <w:pPr>
        <w:pStyle w:val="Odstavecseseznamem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54264">
        <w:rPr>
          <w:rFonts w:cs="Arial"/>
          <w:sz w:val="24"/>
          <w:szCs w:val="24"/>
        </w:rPr>
        <w:t xml:space="preserve"> sociální stát = stát usilující o snižování sociálních rozdílů (princip přerozdělování, garance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minimálního příjmu, sociální politika, sociální síť, veřejná sociální péče, …) a dále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obvykle zajišťující ochranu práce, podporu vzdělávání, hospodářskou politiku, podporu</w:t>
      </w:r>
      <w:r w:rsidRPr="00D54264">
        <w:rPr>
          <w:rFonts w:cs="Arial"/>
          <w:sz w:val="24"/>
          <w:szCs w:val="24"/>
        </w:rPr>
        <w:t xml:space="preserve"> </w:t>
      </w:r>
      <w:r w:rsidRPr="00D54264">
        <w:rPr>
          <w:rFonts w:cs="Arial"/>
          <w:sz w:val="24"/>
          <w:szCs w:val="24"/>
        </w:rPr>
        <w:t>hospodářského růstu, podporu a ochranu hospodářské soutěže.</w:t>
      </w:r>
    </w:p>
    <w:p w:rsidR="00436C4A" w:rsidRPr="00124E36" w:rsidRDefault="00DB25CD" w:rsidP="00124E36">
      <w:pPr>
        <w:pStyle w:val="Odstavecseseznamem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124E36">
        <w:rPr>
          <w:rFonts w:ascii="Tahoma" w:hAnsi="Tahoma" w:cs="Tahoma"/>
          <w:color w:val="333333"/>
          <w:sz w:val="20"/>
          <w:szCs w:val="20"/>
        </w:rPr>
        <w:br/>
      </w:r>
      <w:r w:rsidRPr="00124E36">
        <w:rPr>
          <w:rFonts w:ascii="Tahoma" w:hAnsi="Tahoma" w:cs="Tahoma"/>
          <w:color w:val="333333"/>
          <w:sz w:val="20"/>
          <w:szCs w:val="20"/>
        </w:rPr>
        <w:br/>
      </w:r>
      <w:r w:rsidR="00D54264">
        <w:rPr>
          <w:rFonts w:ascii="Tahoma" w:hAnsi="Tahoma" w:cs="Tahoma"/>
          <w:color w:val="333333"/>
          <w:sz w:val="20"/>
          <w:szCs w:val="20"/>
          <w:shd w:val="clear" w:color="auto" w:fill="FFFFFF"/>
        </w:rPr>
        <w:br/>
      </w:r>
      <w:r w:rsidRPr="00124E36">
        <w:rPr>
          <w:rFonts w:ascii="Tahoma" w:hAnsi="Tahoma" w:cs="Tahoma"/>
          <w:color w:val="333333"/>
          <w:sz w:val="20"/>
          <w:szCs w:val="20"/>
        </w:rPr>
        <w:br/>
      </w:r>
      <w:r w:rsidRPr="00124E36">
        <w:rPr>
          <w:rFonts w:ascii="Tahoma" w:hAnsi="Tahoma" w:cs="Tahoma"/>
          <w:color w:val="333333"/>
          <w:sz w:val="20"/>
          <w:szCs w:val="20"/>
        </w:rPr>
        <w:br/>
      </w:r>
    </w:p>
    <w:sectPr w:rsidR="00436C4A" w:rsidRPr="00124E36" w:rsidSect="00241C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Arial,Bold"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E526A"/>
    <w:multiLevelType w:val="hybridMultilevel"/>
    <w:tmpl w:val="77FC7CDA"/>
    <w:lvl w:ilvl="0" w:tplc="76E6C8BC">
      <w:start w:val="1"/>
      <w:numFmt w:val="decimal"/>
      <w:lvlText w:val="%1."/>
      <w:lvlJc w:val="left"/>
      <w:pPr>
        <w:ind w:left="720" w:hanging="360"/>
      </w:pPr>
      <w:rPr>
        <w:rFonts w:cs="Tahoma" w:hint="default"/>
        <w:color w:val="333333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443FF"/>
    <w:multiLevelType w:val="hybridMultilevel"/>
    <w:tmpl w:val="E586F906"/>
    <w:lvl w:ilvl="0" w:tplc="456EFD1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Tahoma" w:hint="default"/>
        <w:color w:val="333333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F85B81"/>
    <w:multiLevelType w:val="hybridMultilevel"/>
    <w:tmpl w:val="55FC2A42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6BA6950"/>
    <w:multiLevelType w:val="hybridMultilevel"/>
    <w:tmpl w:val="FE5CBCE4"/>
    <w:lvl w:ilvl="0" w:tplc="76E6C8BC">
      <w:start w:val="1"/>
      <w:numFmt w:val="decimal"/>
      <w:lvlText w:val="%1."/>
      <w:lvlJc w:val="left"/>
      <w:pPr>
        <w:ind w:left="720" w:hanging="360"/>
      </w:pPr>
      <w:rPr>
        <w:rFonts w:cs="Tahoma" w:hint="default"/>
        <w:color w:val="333333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985BF2"/>
    <w:multiLevelType w:val="hybridMultilevel"/>
    <w:tmpl w:val="EE6ADDBC"/>
    <w:lvl w:ilvl="0" w:tplc="26C4AA0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1222C7A"/>
    <w:multiLevelType w:val="hybridMultilevel"/>
    <w:tmpl w:val="0DCEF5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9F5CCC"/>
    <w:multiLevelType w:val="hybridMultilevel"/>
    <w:tmpl w:val="DCE4D1C4"/>
    <w:lvl w:ilvl="0" w:tplc="76E6C8BC">
      <w:start w:val="1"/>
      <w:numFmt w:val="decimal"/>
      <w:lvlText w:val="%1."/>
      <w:lvlJc w:val="left"/>
      <w:pPr>
        <w:ind w:left="720" w:hanging="360"/>
      </w:pPr>
      <w:rPr>
        <w:rFonts w:cs="Tahoma" w:hint="default"/>
        <w:color w:val="333333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1D00E5"/>
    <w:multiLevelType w:val="hybridMultilevel"/>
    <w:tmpl w:val="FECEC8B4"/>
    <w:lvl w:ilvl="0" w:tplc="4D48575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B25CD"/>
    <w:rsid w:val="00124E36"/>
    <w:rsid w:val="00241CA3"/>
    <w:rsid w:val="00475616"/>
    <w:rsid w:val="007101D2"/>
    <w:rsid w:val="00783259"/>
    <w:rsid w:val="00C64499"/>
    <w:rsid w:val="00CD7467"/>
    <w:rsid w:val="00D54264"/>
    <w:rsid w:val="00DB25CD"/>
    <w:rsid w:val="00F14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41CA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B25CD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83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832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658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Tereza</dc:creator>
  <cp:lastModifiedBy>Tereza</cp:lastModifiedBy>
  <cp:revision>1</cp:revision>
  <dcterms:created xsi:type="dcterms:W3CDTF">2014-01-07T16:25:00Z</dcterms:created>
  <dcterms:modified xsi:type="dcterms:W3CDTF">2014-01-07T17:55:00Z</dcterms:modified>
</cp:coreProperties>
</file>