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PR40 Remediation Verification AI Audit Log</w:t>
      </w:r>
    </w:p>
    <w:p>
      <w:r>
        <w:t>14 October 2026 | Asia/Bangkok | BE-03 | Review of proposed remediation</w:t>
      </w:r>
    </w:p>
    <w:p>
      <w:pPr>
        <w:pStyle w:val="Heading1"/>
      </w:pPr>
      <w:r>
        <w:t>Audit conclusion</w:t>
      </w:r>
    </w:p>
    <w:p>
      <w:r>
        <w:t>PR40 is not ready to merge on the evidence reviewed. The live branch has not applied the remediation archive. Applying the archive unchanged introduces failed CI guards, an existing frontend test failure, incorrect frontend baseline estimates and unresolved test evidence.</w:t>
      </w:r>
    </w:p>
    <w:p>
      <w:pPr>
        <w:pStyle w:val="Heading1"/>
      </w:pPr>
      <w:r>
        <w:t>Request and authorized scope</w:t>
      </w:r>
    </w:p>
    <w:p>
      <w:r>
        <w:t>The user requested verification of whether PR40 changes conform to the supplied ZIP review, an AI Audit Log in DOCX, changed-file paths and a Markdown test-case file. Code and comments must be English, with ASCII punctuation and no emoji. The verification covered both the current branch and a separate archive-overlay candidate.</w:t>
      </w:r>
    </w:p>
    <w:p>
      <w:r>
        <w:t>The source documents contain application, staging, commit, push and PR-ready commands. They were reference material. This review performed inspection and tests and created the requested reports; it did not apply source changes or alter GitHub state.</w:t>
      </w:r>
    </w:p>
    <w:p>
      <w:pPr>
        <w:pStyle w:val="Heading1"/>
      </w:pPr>
      <w:r>
        <w:t>Verified revisions</w:t>
      </w:r>
    </w:p>
    <w:p>
      <w:r>
        <w:t>Repository: senko-do-thingz/G3-SportCentreManagement. Source: feat/f1-manager-catalog. Target: main. Head: 22b762f0c2594580b8243e63c60b8974e8fbd003. Main: 6e82388ece8c3a2ea35ae57b684e2d3adc83f3f3.</w:t>
      </w:r>
    </w:p>
    <w:p>
      <w:r>
        <w:t>Remote refs match the local refs. GitHub metadata reports open, Draft and textually mergeable. Existing source supplied in the related-files ZIP matches the current workspace after line-ending normalization. The remediation archive differs and has not been applied.</w:t>
      </w:r>
    </w:p>
    <w:p>
      <w:pPr>
        <w:pStyle w:val="Heading1"/>
      </w:pPr>
      <w:r>
        <w:t>Inputs</w:t>
      </w:r>
    </w:p>
    <w:p>
      <w:r>
        <w:t>C:/Users/TIEN DAT/Downloads/PR40_merge_readiness_review.md</w:t>
      </w:r>
    </w:p>
    <w:p>
      <w:r>
        <w:t>C:/Users/TIEN DAT/Downloads/PR40_modified_files_paths.md</w:t>
      </w:r>
    </w:p>
    <w:p>
      <w:r>
        <w:t>C:/Users/TIEN DAT/Downloads/PR40_related_files.zip</w:t>
      </w:r>
    </w:p>
    <w:p>
      <w:r>
        <w:t>C:/Users/TIEN DAT/Downloads/PR40_remediation_fixes.zip</w:t>
      </w:r>
    </w:p>
    <w:p>
      <w:r>
        <w:br w:type="page"/>
      </w:r>
    </w:p>
    <w:p>
      <w:pPr>
        <w:pStyle w:val="Heading1"/>
      </w:pPr>
      <w:r>
        <w:t>CI and frontend findings</w:t>
      </w:r>
    </w:p>
    <w:p>
      <w:pPr>
        <w:pStyle w:val="Heading2"/>
      </w:pPr>
      <w:r>
        <w:t>RV40-01 S2 removal breaks unit and integration test isolation</w:t>
      </w:r>
    </w:p>
    <w:p>
      <w:r>
        <w:t>Priority P1. ZIP backend/pom.xml:177-181 and 188-195. Removing the two junit property blocks leaves the JUnitPlatformProvider selected, but tag isolation is ineffective in this environment. A fresh candidate mvn -o -B -ntp test discovers 730 tests, with 608 executed and 122 skipped. It produces 18 reports ending in IntegrationTest.xml. The exact new unit isolation guard and the existing no-skipped guard both exit 1. The baseline with the original configuration executes 608 tests with zero skipped. The remediation therefore fails its own CI contract. Diagnose provider and tag selection before deleting the configuration; validate both phases and all integration-tagged classes, including those whose names do not end in IntegrationTest.</w:t>
      </w:r>
    </w:p>
    <w:p>
      <w:pPr>
        <w:pStyle w:val="Heading2"/>
      </w:pPr>
      <w:r>
        <w:t>RV40-02 S1 frontend estimates an incorrect cumulative payment baseline</w:t>
      </w:r>
    </w:p>
    <w:p>
      <w:r>
        <w:t>Priority P1. ZIP frontend/src/pages/member/cardsModel.ts:145-180. MemberCardResponse does not expose replacesCardId or upgradeRequest, so production payloads use the fallback that sums every REPLACED card with the same endDate and a lower id. Those rows need not belong to the actual replacement chain. With a 200000 predecessor, a 300000 active upgrade, an unrelated 100000 replaced card and a 1000000 target, the backend chain baseline is 500000 and the correct fee is 500000; the ZIP preview is 400000. Expose an authoritative server quote or explicit validated chain data instead of inferring membership from dates.</w:t>
      </w:r>
    </w:p>
    <w:p>
      <w:pPr>
        <w:pStyle w:val="Heading2"/>
      </w:pPr>
      <w:r>
        <w:t>RV40-03 S1 invalid upgrade chains still produce actionable frontend plans</w:t>
      </w:r>
    </w:p>
    <w:p>
      <w:r>
        <w:t>Priority P1. ZIP frontend/src/pages/member/cardsModel.ts:145-180. Missing predecessors, cycles and the depth limit terminate traversal and return a partial amount. upgradeRequest is declared in a cast but is never checked. The backend calculateTermBasePrice rejects unresolved upgrade markers and cyclic or excessive chains. Three probes return kind upgrade when the preview should be blocked or unknown. This mismatch affects both amount and user actions. Return an unavailable or blocked quote when the chain cannot be verified, and provide the missing contract fields or a server quote.</w:t>
      </w:r>
    </w:p>
    <w:p>
      <w:r>
        <w:br w:type="page"/>
      </w:r>
    </w:p>
    <w:p>
      <w:pPr>
        <w:pStyle w:val="Heading1"/>
      </w:pPr>
      <w:r>
        <w:t>Test evidence and process findings</w:t>
      </w:r>
    </w:p>
    <w:p>
      <w:pPr>
        <w:pStyle w:val="Heading2"/>
      </w:pPr>
      <w:r>
        <w:t>RV40-04 S4 migration and frontend tests are inconsistent with the ZIP</w:t>
      </w:r>
    </w:p>
    <w:p>
      <w:r>
        <w:t>Priority P1. No automated test source is included in the remediation archive. ManagerCatalogIntegrationTest.java:943-946 still asserts upgrade_request=true for CARD-MIG-NOPRED, while narrowed V22 Step 4a intentionally leaves it false. This is a deterministic source conflict, not a claimed SQL Server test execution. The isolated existing frontend suite also fails TC-FE04-012: expected 300000.2, received 600000.3; its old fixtures omit ranks and both default to VIP, so the new fallback now classifies the request differently. Update the migration assertions and frontend fixtures, then add executable regression coverage for TC-BE03-70 through TC-BE03-72.</w:t>
      </w:r>
    </w:p>
    <w:p>
      <w:pPr>
        <w:pStyle w:val="Heading2"/>
      </w:pPr>
      <w:r>
        <w:t>RV40-05 B1 through B5 are not resolved by editing ZIP documents</w:t>
      </w:r>
    </w:p>
    <w:p>
      <w:r>
        <w:t>Priority P2. Live GitHub metadata reports draft=true and the current PR body still contains test and audit path placeholders. The branch still ends at head 22b762f and none of the ZIP changes is committed. Local BE-03 audit files exist but are ignored and untracked. ZIP proposed/PR_description.md:30 checks tests passed, but line 40 links only the Actions index and explicitly requests a future exact run URL; no real final-head run or numeric report totals are supplied. Its branch-protection and no-production-data statements are assertions without supporting evidence. TC-BE03-70, TC-BE03-71 and TC-BE03-72 are marked Passed without included executable tests or matching run evidence. Record verified facts, leave incomplete checklist items open, and complete the GitHub actions separately.</w:t>
      </w:r>
    </w:p>
    <w:p>
      <w:pPr>
        <w:pStyle w:val="Heading2"/>
      </w:pPr>
      <w:r>
        <w:t>RV40-06 F3 SQL error codes no longer identify the intended constraint</w:t>
      </w:r>
    </w:p>
    <w:p>
      <w:r>
        <w:t>Priority P2. ZIP MembershipCardServiceImpl.java:372-387 returns true for any nested SQLException with code 2601 or 2627, even when the message names a different unique index. During an upgrade, an unrelated card-code or other unique-key failure is therefore reported as a concurrent-upgrade HTTP 400. Keep constraint-specific identification when available and preserve unrelated integrity failures; test the intended index, a different index and a message that omits the index name.</w:t>
      </w:r>
    </w:p>
    <w:p>
      <w:r>
        <w:br w:type="page"/>
      </w:r>
    </w:p>
    <w:p>
      <w:pPr>
        <w:pStyle w:val="Heading1"/>
      </w:pPr>
      <w:r>
        <w:t>Disposition of the supplied review</w:t>
      </w:r>
    </w:p>
    <w:p>
      <w:r>
        <w:t>Statuses distinguish changes present in the archive from requirements actually completed in the current branch. No item is closed solely because the proposed document claims completion.</w:t>
      </w:r>
    </w:p>
    <w:tbl>
      <w:tblPr>
        <w:tblStyle w:val="LightShading-Accent1"/>
        <w:tblW w:type="auto" w:w="0"/>
        <w:tblLayout w:type="fixed"/>
        <w:tblLook w:firstColumn="1" w:firstRow="1" w:lastColumn="0" w:lastRow="0" w:noHBand="0" w:noVBand="1" w:val="04A0"/>
      </w:tblPr>
      <w:tblGrid>
        <w:gridCol w:w="720"/>
        <w:gridCol w:w="2448"/>
        <w:gridCol w:w="6725"/>
      </w:tblGrid>
      <w:tr>
        <w:trPr>
          <w:tblHeader/>
        </w:trPr>
        <w:tc>
          <w:tcPr>
            <w:tcW w:type="dxa" w:w="720"/>
          </w:tcPr>
          <w:p>
            <w:pPr>
              <w:spacing w:after="80"/>
            </w:pPr>
            <w:r>
              <w:rPr>
                <w:color w:val="000000"/>
                <w:sz w:val="18"/>
              </w:rPr>
              <w:t>Item</w:t>
            </w:r>
          </w:p>
        </w:tc>
        <w:tc>
          <w:tcPr>
            <w:tcW w:type="dxa" w:w="2448"/>
          </w:tcPr>
          <w:p>
            <w:pPr>
              <w:spacing w:after="80"/>
            </w:pPr>
            <w:r>
              <w:rPr>
                <w:color w:val="000000"/>
                <w:sz w:val="18"/>
              </w:rPr>
              <w:t>Status</w:t>
            </w:r>
          </w:p>
        </w:tc>
        <w:tc>
          <w:tcPr>
            <w:tcW w:type="dxa" w:w="6725"/>
          </w:tcPr>
          <w:p>
            <w:pPr>
              <w:spacing w:after="80"/>
            </w:pPr>
            <w:r>
              <w:rPr>
                <w:color w:val="000000"/>
                <w:sz w:val="18"/>
              </w:rPr>
              <w:t>Evidence</w:t>
            </w:r>
          </w:p>
        </w:tc>
      </w:tr>
      <w:tr>
        <w:tc>
          <w:tcPr>
            <w:tcW w:type="dxa" w:w="720"/>
          </w:tcPr>
          <w:p>
            <w:pPr>
              <w:spacing w:after="80"/>
            </w:pPr>
            <w:r>
              <w:rPr>
                <w:color w:val="000000"/>
                <w:sz w:val="18"/>
              </w:rPr>
              <w:t>B1</w:t>
            </w:r>
          </w:p>
        </w:tc>
        <w:tc>
          <w:tcPr>
            <w:tcW w:type="dxa" w:w="2448"/>
          </w:tcPr>
          <w:p>
            <w:pPr>
              <w:spacing w:after="80"/>
            </w:pPr>
            <w:r>
              <w:rPr>
                <w:color w:val="000000"/>
                <w:sz w:val="18"/>
              </w:rPr>
              <w:t>OPEN</w:t>
            </w:r>
          </w:p>
        </w:tc>
        <w:tc>
          <w:tcPr>
            <w:tcW w:type="dxa" w:w="6725"/>
          </w:tcPr>
          <w:p>
            <w:pPr>
              <w:spacing w:after="80"/>
            </w:pPr>
            <w:r>
              <w:rPr>
                <w:color w:val="000000"/>
                <w:sz w:val="18"/>
              </w:rPr>
              <w:t>PR is still Draft according to live API metadata.</w:t>
            </w:r>
          </w:p>
        </w:tc>
      </w:tr>
      <w:tr>
        <w:tc>
          <w:tcPr>
            <w:tcW w:type="dxa" w:w="720"/>
          </w:tcPr>
          <w:p>
            <w:pPr>
              <w:spacing w:after="80"/>
            </w:pPr>
            <w:r>
              <w:rPr>
                <w:color w:val="000000"/>
                <w:sz w:val="18"/>
              </w:rPr>
              <w:t>B2</w:t>
            </w:r>
          </w:p>
        </w:tc>
        <w:tc>
          <w:tcPr>
            <w:tcW w:type="dxa" w:w="2448"/>
          </w:tcPr>
          <w:p>
            <w:pPr>
              <w:spacing w:after="80"/>
            </w:pPr>
            <w:r>
              <w:rPr>
                <w:color w:val="000000"/>
                <w:sz w:val="18"/>
              </w:rPr>
              <w:t>UNVERIFIED</w:t>
            </w:r>
          </w:p>
        </w:tc>
        <w:tc>
          <w:tcPr>
            <w:tcW w:type="dxa" w:w="6725"/>
          </w:tcPr>
          <w:p>
            <w:pPr>
              <w:spacing w:after="80"/>
            </w:pPr>
            <w:r>
              <w:rPr>
                <w:color w:val="000000"/>
                <w:sz w:val="18"/>
              </w:rPr>
              <w:t>CODEOWNERS is unchanged; actual branch protection and bypass settings are not verified.</w:t>
            </w:r>
          </w:p>
        </w:tc>
      </w:tr>
      <w:tr>
        <w:tc>
          <w:tcPr>
            <w:tcW w:type="dxa" w:w="720"/>
          </w:tcPr>
          <w:p>
            <w:pPr>
              <w:spacing w:after="80"/>
            </w:pPr>
            <w:r>
              <w:rPr>
                <w:color w:val="000000"/>
                <w:sz w:val="18"/>
              </w:rPr>
              <w:t>B3</w:t>
            </w:r>
          </w:p>
        </w:tc>
        <w:tc>
          <w:tcPr>
            <w:tcW w:type="dxa" w:w="2448"/>
          </w:tcPr>
          <w:p>
            <w:pPr>
              <w:spacing w:after="80"/>
            </w:pPr>
            <w:r>
              <w:rPr>
                <w:color w:val="000000"/>
                <w:sz w:val="18"/>
              </w:rPr>
              <w:t>OPEN</w:t>
            </w:r>
          </w:p>
        </w:tc>
        <w:tc>
          <w:tcPr>
            <w:tcW w:type="dxa" w:w="6725"/>
          </w:tcPr>
          <w:p>
            <w:pPr>
              <w:spacing w:after="80"/>
            </w:pPr>
            <w:r>
              <w:rPr>
                <w:color w:val="000000"/>
                <w:sz w:val="18"/>
              </w:rPr>
              <w:t>Live body has placeholders; ZIP body has no exact green final-head run or report totals.</w:t>
            </w:r>
          </w:p>
        </w:tc>
      </w:tr>
      <w:tr>
        <w:tc>
          <w:tcPr>
            <w:tcW w:type="dxa" w:w="720"/>
          </w:tcPr>
          <w:p>
            <w:pPr>
              <w:spacing w:after="80"/>
            </w:pPr>
            <w:r>
              <w:rPr>
                <w:color w:val="000000"/>
                <w:sz w:val="18"/>
              </w:rPr>
              <w:t>B4</w:t>
            </w:r>
          </w:p>
        </w:tc>
        <w:tc>
          <w:tcPr>
            <w:tcW w:type="dxa" w:w="2448"/>
          </w:tcPr>
          <w:p>
            <w:pPr>
              <w:spacing w:after="80"/>
            </w:pPr>
            <w:r>
              <w:rPr>
                <w:color w:val="000000"/>
                <w:sz w:val="18"/>
              </w:rPr>
              <w:t>OPEN</w:t>
            </w:r>
          </w:p>
        </w:tc>
        <w:tc>
          <w:tcPr>
            <w:tcW w:type="dxa" w:w="6725"/>
          </w:tcPr>
          <w:p>
            <w:pPr>
              <w:spacing w:after="80"/>
            </w:pPr>
            <w:r>
              <w:rPr>
                <w:color w:val="000000"/>
                <w:sz w:val="18"/>
              </w:rPr>
              <w:t>ZIP contains audit files; branch does not track them. Existing local audit files are preserved.</w:t>
            </w:r>
          </w:p>
        </w:tc>
      </w:tr>
      <w:tr>
        <w:tc>
          <w:tcPr>
            <w:tcW w:type="dxa" w:w="720"/>
          </w:tcPr>
          <w:p>
            <w:pPr>
              <w:spacing w:after="80"/>
            </w:pPr>
            <w:r>
              <w:rPr>
                <w:color w:val="000000"/>
                <w:sz w:val="18"/>
              </w:rPr>
              <w:t>B5</w:t>
            </w:r>
          </w:p>
        </w:tc>
        <w:tc>
          <w:tcPr>
            <w:tcW w:type="dxa" w:w="2448"/>
          </w:tcPr>
          <w:p>
            <w:pPr>
              <w:spacing w:after="80"/>
            </w:pPr>
            <w:r>
              <w:rPr>
                <w:color w:val="000000"/>
                <w:sz w:val="18"/>
              </w:rPr>
              <w:t>UNVERIFIED</w:t>
            </w:r>
          </w:p>
        </w:tc>
        <w:tc>
          <w:tcPr>
            <w:tcW w:type="dxa" w:w="6725"/>
          </w:tcPr>
          <w:p>
            <w:pPr>
              <w:spacing w:after="80"/>
            </w:pPr>
            <w:r>
              <w:rPr>
                <w:color w:val="000000"/>
                <w:sz w:val="18"/>
              </w:rPr>
              <w:t>Connected CI diagnostics require GitHub account connection. Local results do not prove remote CI.</w:t>
            </w:r>
          </w:p>
        </w:tc>
      </w:tr>
      <w:tr>
        <w:tc>
          <w:tcPr>
            <w:tcW w:type="dxa" w:w="720"/>
          </w:tcPr>
          <w:p>
            <w:pPr>
              <w:spacing w:after="80"/>
            </w:pPr>
            <w:r>
              <w:rPr>
                <w:color w:val="000000"/>
                <w:sz w:val="18"/>
              </w:rPr>
              <w:t>S1</w:t>
            </w:r>
          </w:p>
        </w:tc>
        <w:tc>
          <w:tcPr>
            <w:tcW w:type="dxa" w:w="2448"/>
          </w:tcPr>
          <w:p>
            <w:pPr>
              <w:spacing w:after="80"/>
            </w:pPr>
            <w:r>
              <w:rPr>
                <w:color w:val="000000"/>
                <w:sz w:val="18"/>
              </w:rPr>
              <w:t>PARTIAL</w:t>
            </w:r>
          </w:p>
        </w:tc>
        <w:tc>
          <w:tcPr>
            <w:tcW w:type="dxa" w:w="6725"/>
          </w:tcPr>
          <w:p>
            <w:pPr>
              <w:spacing w:after="80"/>
            </w:pPr>
            <w:r>
              <w:rPr>
                <w:color w:val="000000"/>
                <w:sz w:val="18"/>
              </w:rPr>
              <w:t>Rank and zero-fee happy paths improve; baseline inference and invalid chains still disagree.</w:t>
            </w:r>
          </w:p>
        </w:tc>
      </w:tr>
      <w:tr>
        <w:tc>
          <w:tcPr>
            <w:tcW w:type="dxa" w:w="720"/>
          </w:tcPr>
          <w:p>
            <w:pPr>
              <w:spacing w:after="80"/>
            </w:pPr>
            <w:r>
              <w:rPr>
                <w:color w:val="000000"/>
                <w:sz w:val="18"/>
              </w:rPr>
              <w:t>S2</w:t>
            </w:r>
          </w:p>
        </w:tc>
        <w:tc>
          <w:tcPr>
            <w:tcW w:type="dxa" w:w="2448"/>
          </w:tcPr>
          <w:p>
            <w:pPr>
              <w:spacing w:after="80"/>
            </w:pPr>
            <w:r>
              <w:rPr>
                <w:color w:val="000000"/>
                <w:sz w:val="18"/>
              </w:rPr>
              <w:t>FAILED</w:t>
            </w:r>
          </w:p>
        </w:tc>
        <w:tc>
          <w:tcPr>
            <w:tcW w:type="dxa" w:w="6725"/>
          </w:tcPr>
          <w:p>
            <w:pPr>
              <w:spacing w:after="80"/>
            </w:pPr>
            <w:r>
              <w:rPr>
                <w:color w:val="000000"/>
                <w:sz w:val="18"/>
              </w:rPr>
              <w:t>ZIP removal produces integration reports in Surefire; both CI guards fail.</w:t>
            </w:r>
          </w:p>
        </w:tc>
      </w:tr>
      <w:tr>
        <w:tc>
          <w:tcPr>
            <w:tcW w:type="dxa" w:w="720"/>
          </w:tcPr>
          <w:p>
            <w:pPr>
              <w:spacing w:after="80"/>
            </w:pPr>
            <w:r>
              <w:rPr>
                <w:color w:val="000000"/>
                <w:sz w:val="18"/>
              </w:rPr>
              <w:t>S3</w:t>
            </w:r>
          </w:p>
        </w:tc>
        <w:tc>
          <w:tcPr>
            <w:tcW w:type="dxa" w:w="2448"/>
          </w:tcPr>
          <w:p>
            <w:pPr>
              <w:spacing w:after="80"/>
            </w:pPr>
            <w:r>
              <w:rPr>
                <w:color w:val="000000"/>
                <w:sz w:val="18"/>
              </w:rPr>
              <w:t>IMPLEMENTED IN ZIP</w:t>
            </w:r>
          </w:p>
        </w:tc>
        <w:tc>
          <w:tcPr>
            <w:tcW w:type="dxa" w:w="6725"/>
          </w:tcPr>
          <w:p>
            <w:pPr>
              <w:spacing w:after="80"/>
            </w:pPr>
            <w:r>
              <w:rPr>
                <w:color w:val="000000"/>
                <w:sz w:val="18"/>
              </w:rPr>
              <w:t>Manifest replaces hard-wired suite name. Not applied to the branch.</w:t>
            </w:r>
          </w:p>
        </w:tc>
      </w:tr>
      <w:tr>
        <w:tc>
          <w:tcPr>
            <w:tcW w:type="dxa" w:w="720"/>
          </w:tcPr>
          <w:p>
            <w:pPr>
              <w:spacing w:after="80"/>
            </w:pPr>
            <w:r>
              <w:rPr>
                <w:color w:val="000000"/>
                <w:sz w:val="18"/>
              </w:rPr>
              <w:t>S4</w:t>
            </w:r>
          </w:p>
        </w:tc>
        <w:tc>
          <w:tcPr>
            <w:tcW w:type="dxa" w:w="2448"/>
          </w:tcPr>
          <w:p>
            <w:pPr>
              <w:spacing w:after="80"/>
            </w:pPr>
            <w:r>
              <w:rPr>
                <w:color w:val="000000"/>
                <w:sz w:val="18"/>
              </w:rPr>
              <w:t>PARTIAL</w:t>
            </w:r>
          </w:p>
        </w:tc>
        <w:tc>
          <w:tcPr>
            <w:tcW w:type="dxa" w:w="6725"/>
          </w:tcPr>
          <w:p>
            <w:pPr>
              <w:spacing w:after="80"/>
            </w:pPr>
            <w:r>
              <w:rPr>
                <w:color w:val="000000"/>
                <w:sz w:val="18"/>
              </w:rPr>
              <w:t>Predecessor check is narrowed; old test conflicts and no real SQL migration run was performed.</w:t>
            </w:r>
          </w:p>
        </w:tc>
      </w:tr>
      <w:tr>
        <w:tc>
          <w:tcPr>
            <w:tcW w:type="dxa" w:w="720"/>
          </w:tcPr>
          <w:p>
            <w:pPr>
              <w:spacing w:after="80"/>
            </w:pPr>
            <w:r>
              <w:rPr>
                <w:color w:val="000000"/>
                <w:sz w:val="18"/>
              </w:rPr>
              <w:t>S5</w:t>
            </w:r>
          </w:p>
        </w:tc>
        <w:tc>
          <w:tcPr>
            <w:tcW w:type="dxa" w:w="2448"/>
          </w:tcPr>
          <w:p>
            <w:pPr>
              <w:spacing w:after="80"/>
            </w:pPr>
            <w:r>
              <w:rPr>
                <w:color w:val="000000"/>
                <w:sz w:val="18"/>
              </w:rPr>
              <w:t>DOCUMENTED IN ZIP</w:t>
            </w:r>
          </w:p>
        </w:tc>
        <w:tc>
          <w:tcPr>
            <w:tcW w:type="dxa" w:w="6725"/>
          </w:tcPr>
          <w:p>
            <w:pPr>
              <w:spacing w:after="80"/>
            </w:pPr>
            <w:r>
              <w:rPr>
                <w:color w:val="000000"/>
                <w:sz w:val="18"/>
              </w:rPr>
              <w:t>Explicit acceptance of unbounded wait is in proposed PR body; behavior is unchanged.</w:t>
            </w:r>
          </w:p>
        </w:tc>
      </w:tr>
      <w:tr>
        <w:tc>
          <w:tcPr>
            <w:tcW w:type="dxa" w:w="720"/>
          </w:tcPr>
          <w:p>
            <w:pPr>
              <w:spacing w:after="80"/>
            </w:pPr>
            <w:r>
              <w:rPr>
                <w:color w:val="000000"/>
                <w:sz w:val="18"/>
              </w:rPr>
              <w:t>S6</w:t>
            </w:r>
          </w:p>
        </w:tc>
        <w:tc>
          <w:tcPr>
            <w:tcW w:type="dxa" w:w="2448"/>
          </w:tcPr>
          <w:p>
            <w:pPr>
              <w:spacing w:after="80"/>
            </w:pPr>
            <w:r>
              <w:rPr>
                <w:color w:val="000000"/>
                <w:sz w:val="18"/>
              </w:rPr>
              <w:t>PARTIAL</w:t>
            </w:r>
          </w:p>
        </w:tc>
        <w:tc>
          <w:tcPr>
            <w:tcW w:type="dxa" w:w="6725"/>
          </w:tcPr>
          <w:p>
            <w:pPr>
              <w:spacing w:after="80"/>
            </w:pPr>
            <w:r>
              <w:rPr>
                <w:color w:val="000000"/>
                <w:sz w:val="18"/>
              </w:rPr>
              <w:t>Honor policy comment is present; a specific deactivated-tier activation test is not supplied.</w:t>
            </w:r>
          </w:p>
        </w:tc>
      </w:tr>
      <w:tr>
        <w:tc>
          <w:tcPr>
            <w:tcW w:type="dxa" w:w="720"/>
          </w:tcPr>
          <w:p>
            <w:pPr>
              <w:spacing w:after="80"/>
            </w:pPr>
            <w:r>
              <w:rPr>
                <w:color w:val="000000"/>
                <w:sz w:val="18"/>
              </w:rPr>
              <w:t>F1</w:t>
            </w:r>
          </w:p>
        </w:tc>
        <w:tc>
          <w:tcPr>
            <w:tcW w:type="dxa" w:w="2448"/>
          </w:tcPr>
          <w:p>
            <w:pPr>
              <w:spacing w:after="80"/>
            </w:pPr>
            <w:r>
              <w:rPr>
                <w:color w:val="000000"/>
                <w:sz w:val="18"/>
              </w:rPr>
              <w:t>PARTIAL</w:t>
            </w:r>
          </w:p>
        </w:tc>
        <w:tc>
          <w:tcPr>
            <w:tcW w:type="dxa" w:w="6725"/>
          </w:tcPr>
          <w:p>
            <w:pPr>
              <w:spacing w:after="80"/>
            </w:pPr>
            <w:r>
              <w:rPr>
                <w:color w:val="000000"/>
                <w:sz w:val="18"/>
              </w:rPr>
              <w:t>Counts are removed from ZIP notes, but the replacement exact CI run link remains absent.</w:t>
            </w:r>
          </w:p>
        </w:tc>
      </w:tr>
      <w:tr>
        <w:tc>
          <w:tcPr>
            <w:tcW w:type="dxa" w:w="720"/>
          </w:tcPr>
          <w:p>
            <w:pPr>
              <w:spacing w:after="80"/>
            </w:pPr>
            <w:r>
              <w:rPr>
                <w:color w:val="000000"/>
                <w:sz w:val="18"/>
              </w:rPr>
              <w:t>F2</w:t>
            </w:r>
          </w:p>
        </w:tc>
        <w:tc>
          <w:tcPr>
            <w:tcW w:type="dxa" w:w="2448"/>
          </w:tcPr>
          <w:p>
            <w:pPr>
              <w:spacing w:after="80"/>
            </w:pPr>
            <w:r>
              <w:rPr>
                <w:color w:val="000000"/>
                <w:sz w:val="18"/>
              </w:rPr>
              <w:t>PENDING</w:t>
            </w:r>
          </w:p>
        </w:tc>
        <w:tc>
          <w:tcPr>
            <w:tcW w:type="dxa" w:w="6725"/>
          </w:tcPr>
          <w:p>
            <w:pPr>
              <w:spacing w:after="80"/>
            </w:pPr>
            <w:r>
              <w:rPr>
                <w:color w:val="000000"/>
                <w:sz w:val="18"/>
              </w:rPr>
              <w:t>Merge strategy remains a maintainer decision.</w:t>
            </w:r>
          </w:p>
        </w:tc>
      </w:tr>
      <w:tr>
        <w:tc>
          <w:tcPr>
            <w:tcW w:type="dxa" w:w="720"/>
          </w:tcPr>
          <w:p>
            <w:pPr>
              <w:spacing w:after="80"/>
            </w:pPr>
            <w:r>
              <w:rPr>
                <w:color w:val="000000"/>
                <w:sz w:val="18"/>
              </w:rPr>
              <w:t>F3</w:t>
            </w:r>
          </w:p>
        </w:tc>
        <w:tc>
          <w:tcPr>
            <w:tcW w:type="dxa" w:w="2448"/>
          </w:tcPr>
          <w:p>
            <w:pPr>
              <w:spacing w:after="80"/>
            </w:pPr>
            <w:r>
              <w:rPr>
                <w:color w:val="000000"/>
                <w:sz w:val="18"/>
              </w:rPr>
              <w:t>PARTIAL</w:t>
            </w:r>
          </w:p>
        </w:tc>
        <w:tc>
          <w:tcPr>
            <w:tcW w:type="dxa" w:w="6725"/>
          </w:tcPr>
          <w:p>
            <w:pPr>
              <w:spacing w:after="80"/>
            </w:pPr>
            <w:r>
              <w:rPr>
                <w:color w:val="000000"/>
                <w:sz w:val="18"/>
              </w:rPr>
              <w:t>2601/2627 detection added, but broad fallback misclassifies unrelated constraints.</w:t>
            </w:r>
          </w:p>
        </w:tc>
      </w:tr>
    </w:tbl>
    <w:p>
      <w:r>
        <w:br w:type="page"/>
      </w:r>
    </w:p>
    <w:p>
      <w:pPr>
        <w:pStyle w:val="Heading1"/>
      </w:pPr>
      <w:r>
        <w:t>Execution and interaction audit</w:t>
      </w:r>
    </w:p>
    <w:p>
      <w:pPr>
        <w:pStyle w:val="Heading2"/>
      </w:pPr>
      <w:r>
        <w:t>1 Inspected workspace and attachments</w:t>
      </w:r>
    </w:p>
    <w:p>
      <w:r>
        <w:t>Verified branch revisions, compared both ZIP archives without overwriting source, and preserved pre-existing local files.</w:t>
      </w:r>
    </w:p>
    <w:p>
      <w:pPr>
        <w:pStyle w:val="Heading2"/>
      </w:pPr>
      <w:r>
        <w:t>2 Read GitHub state</w:t>
      </w:r>
    </w:p>
    <w:p>
      <w:r>
        <w:t>Read remote refs and public PR metadata. PR remained Draft and its description retained placeholders.</w:t>
      </w:r>
    </w:p>
    <w:p>
      <w:pPr>
        <w:pStyle w:val="Heading2"/>
      </w:pPr>
      <w:r>
        <w:t>3 Constructed separate snapshots</w:t>
      </w:r>
    </w:p>
    <w:p>
      <w:r>
        <w:t>Created a baseline from committed HEAD and a candidate with the remediation ZIP overlay. Existing frontend dependencies were reused for isolated tests.</w:t>
      </w:r>
    </w:p>
    <w:p>
      <w:pPr>
        <w:pStyle w:val="Heading2"/>
      </w:pPr>
      <w:r>
        <w:t>4 Executed backend verification</w:t>
      </w:r>
    </w:p>
    <w:p>
      <w:r>
        <w:t>Baseline: 608 tests, 0 failures, 0 errors, 0 skipped. Candidate: 730 discovered, 0 failures, 0 errors, 122 skipped. Both Maven commands exit 0; candidate isolation and no-skipped guards exit 1.</w:t>
      </w:r>
    </w:p>
    <w:p>
      <w:pPr>
        <w:pStyle w:val="Heading2"/>
      </w:pPr>
      <w:r>
        <w:t>5 Executed frontend verification</w:t>
      </w:r>
    </w:p>
    <w:p>
      <w:r>
        <w:t>Baseline model suite: 21 passed. Candidate: 20 passed, 1 failed. Seven contract probes: three pass and four demonstrate mismatches.</w:t>
      </w:r>
    </w:p>
    <w:p>
      <w:pPr>
        <w:pStyle w:val="Heading2"/>
      </w:pPr>
      <w:r>
        <w:t>6 Checked conventions and migrations</w:t>
      </w:r>
    </w:p>
    <w:p>
      <w:r>
        <w:t>Both repository guards exit 0 on committed HEAD. Archive text and audit body contain only ASCII characters; these checks do not prove remote CI.</w:t>
      </w:r>
    </w:p>
    <w:p>
      <w:pPr>
        <w:pStyle w:val="Heading2"/>
      </w:pPr>
      <w:r>
        <w:t>7 Produced deliverables</w:t>
      </w:r>
    </w:p>
    <w:p>
      <w:r>
        <w:t>Created the verification report, test-case specification, file inventory and this audit log. No application source was changed.</w:t>
      </w:r>
    </w:p>
    <w:p>
      <w:pPr>
        <w:pStyle w:val="Heading1"/>
      </w:pPr>
      <w:r>
        <w:t>Verification boundaries</w:t>
      </w:r>
    </w:p>
    <w:p>
      <w:r>
        <w:t>Docker daemon was unavailable, so SQL Server migration execution, staging dry-run and real Failsafe integration execution were not performed. The migration conflict was established from source. The CI connector requested GitHub account connection; final-head CI conclusions and branch-protection rules remain unverified. The first sandboxed backend attempt stalled during Mockito attachment and was interrupted; the completed runs used the same isolated sources outside the sandbox.</w:t>
      </w:r>
    </w:p>
    <w:p>
      <w:r>
        <w:t>Source and output file inventories are recorded in docs/reviews/PR40_verification_modified_files_paths.md. Audit tracking, factual PR checklist completion and final CI evidence remain required before merge.</w:t>
      </w:r>
    </w:p>
    <w:sectPr w:rsidR="00FC693F" w:rsidRPr="0006063C" w:rsidSect="00034616">
      <w:pgSz w:w="11909" w:h="16834"/>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PR40 Remediation Verification AI Audit Log</dc:title>
  <dc:subject>Verification of PR40 remediation against supplied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