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3F87" w:rsidRDefault="00B66E67" w:rsidP="00B43F87">
      <w:pPr>
        <w:pStyle w:val="Title"/>
      </w:pPr>
      <w:r>
        <w:t xml:space="preserve">System Description </w:t>
      </w:r>
      <w:r w:rsidR="00165519">
        <w:t>of PLL-Evalboard-Synthesizer</w:t>
      </w:r>
    </w:p>
    <w:p w:rsidR="00165519" w:rsidRDefault="00165519" w:rsidP="00165519">
      <w:pPr>
        <w:pStyle w:val="Subtitle"/>
      </w:pPr>
      <w:r>
        <w:t>Rich Rademacher, University of Waterloo/IQC</w:t>
      </w:r>
    </w:p>
    <w:p w:rsidR="00165519" w:rsidRDefault="00165519" w:rsidP="00165519">
      <w:pPr>
        <w:pStyle w:val="Heading1"/>
      </w:pPr>
      <w:r>
        <w:t>Introduction</w:t>
      </w:r>
    </w:p>
    <w:p w:rsidR="00165519" w:rsidRPr="00722DA5" w:rsidRDefault="001F10BD" w:rsidP="00722DA5">
      <w:r>
        <w:t xml:space="preserve">This document describes </w:t>
      </w:r>
      <w:r w:rsidR="00165519">
        <w:t>our Phase-Locked Loop (PLL) frequency synthesizer for generating medium-precision RF carrier wave (CW) signals.  The Quantum Ion Trap group at the Institute for Quantum Computing (IQC) uses a series of evaluation boards from Analog Devices</w:t>
      </w:r>
      <w:r w:rsidR="00EB0087">
        <w:t xml:space="preserve"> and Pere</w:t>
      </w:r>
      <w:r w:rsidR="00A0631F">
        <w:t xml:space="preserve">grine Semiconductor to provide a low-cost series of RF drive signals.  </w:t>
      </w:r>
      <w:r w:rsidR="00EB0087">
        <w:t xml:space="preserve">Custom boards may be designed later if desired.  </w:t>
      </w:r>
      <w:r w:rsidR="00A0631F">
        <w:t>These signals are calibrated to industry standards, not atomic standards, and so are medium-precision.</w:t>
      </w:r>
      <w:r w:rsidR="00EB0087">
        <w:t xml:space="preserve">  </w:t>
      </w:r>
      <w:r w:rsidR="00722DA5">
        <w:t xml:space="preserve">Analog Devices documentation refers to </w:t>
      </w:r>
      <w:r w:rsidR="00722DA5">
        <w:rPr>
          <w:i/>
        </w:rPr>
        <w:t>both</w:t>
      </w:r>
      <w:r w:rsidR="00722DA5">
        <w:t xml:space="preserve"> products as ‘microwave’ synthesizer, but in keeping with AMO community convention w</w:t>
      </w:r>
      <w:r w:rsidR="00722DA5">
        <w:t>e delineate Microwave as &gt;10 GHz, while RF is considered all lower frequency carriers</w:t>
      </w:r>
      <w:r w:rsidR="00722DA5">
        <w:t>.</w:t>
      </w:r>
    </w:p>
    <w:p w:rsidR="00A0631F" w:rsidRDefault="00A0631F" w:rsidP="00A0631F">
      <w:pPr>
        <w:pStyle w:val="Heading1"/>
      </w:pPr>
      <w:r>
        <w:t>System Design</w:t>
      </w:r>
    </w:p>
    <w:p w:rsidR="001F10BD" w:rsidRDefault="001F10BD" w:rsidP="001F10BD">
      <w:pPr>
        <w:keepNext/>
      </w:pPr>
      <w:r>
        <w:rPr>
          <w:noProof/>
        </w:rPr>
        <w:drawing>
          <wp:inline distT="0" distB="0" distL="0" distR="0" wp14:anchorId="58B887BE" wp14:editId="3A3C59AB">
            <wp:extent cx="5943600" cy="4674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0BD" w:rsidRPr="001F10BD" w:rsidRDefault="001F10BD" w:rsidP="001F10BD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- System Block Diagram</w:t>
      </w:r>
    </w:p>
    <w:p w:rsidR="00722DA5" w:rsidRPr="00722DA5" w:rsidRDefault="00722DA5" w:rsidP="00722DA5">
      <w:pPr>
        <w:pStyle w:val="Heading2"/>
      </w:pPr>
      <w:r>
        <w:lastRenderedPageBreak/>
        <w:t>Oscillator Configuration</w:t>
      </w:r>
    </w:p>
    <w:p w:rsidR="00722DA5" w:rsidRDefault="00A0631F" w:rsidP="00A0631F">
      <w:r>
        <w:t>The system is designed around a series of Phase-Locked Loop</w:t>
      </w:r>
      <w:r w:rsidR="00EB0087">
        <w:t xml:space="preserve"> evaluation boards.  The ADF-41020 phase locked loop provides microwave carrier, and ADF-4355-2 phase locked loop provides RF carriers.  The 4355-2 is wider band, with on-chip voltage-controlled oscillator (VCO).  The microwave synthesizer 41020 is narrower band and uses an external VCO.  </w:t>
      </w:r>
    </w:p>
    <w:p w:rsidR="00722DA5" w:rsidRDefault="00722DA5" w:rsidP="00722DA5">
      <w:pPr>
        <w:pStyle w:val="Heading2"/>
      </w:pPr>
      <w:r>
        <w:t>Modification of the Microwave Evaluation Board</w:t>
      </w:r>
    </w:p>
    <w:p w:rsidR="00722DA5" w:rsidRDefault="00722DA5" w:rsidP="00A0631F">
      <w:r>
        <w:t xml:space="preserve">The microwave synthesizer utilizes an external VCO (off-chip, but built into the evaluation board). The </w:t>
      </w:r>
      <w:r w:rsidR="00EB0087">
        <w:t xml:space="preserve">VCO is </w:t>
      </w:r>
      <w:r>
        <w:t xml:space="preserve">chosen </w:t>
      </w:r>
      <w:r w:rsidR="00EB0087">
        <w:t xml:space="preserve">often more limited than the PLL chip itself, and may be replaced </w:t>
      </w:r>
      <w:r>
        <w:t>s</w:t>
      </w:r>
      <w:r w:rsidR="00EB0087">
        <w:t>hould the eval board is used for certain frequencies.</w:t>
      </w:r>
      <w:r w:rsidR="00EB0087" w:rsidRPr="00EB0087">
        <w:t xml:space="preserve"> </w:t>
      </w:r>
      <w:r>
        <w:t xml:space="preserve"> </w:t>
      </w:r>
      <w:r w:rsidR="001F10BD">
        <w:t>The ADF41020 evaluation board was designed around a specific VCO chip (Analog Devices/Hittite Microwave HMC515), so replacement VCOs must follow compatible pinouts.  The following table shows several suitable replacements.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0"/>
        <w:gridCol w:w="2880"/>
      </w:tblGrid>
      <w:tr w:rsidR="001F10BD" w:rsidTr="004B2A7C">
        <w:trPr>
          <w:jc w:val="center"/>
        </w:trPr>
        <w:tc>
          <w:tcPr>
            <w:tcW w:w="3060" w:type="dxa"/>
          </w:tcPr>
          <w:p w:rsidR="001F10BD" w:rsidRPr="001F10BD" w:rsidRDefault="001F10BD" w:rsidP="001F10BD">
            <w:pPr>
              <w:pStyle w:val="NoSpacing"/>
              <w:rPr>
                <w:b/>
              </w:rPr>
            </w:pPr>
            <w:r w:rsidRPr="001F10BD">
              <w:rPr>
                <w:b/>
              </w:rPr>
              <w:t>Frequency</w:t>
            </w:r>
          </w:p>
        </w:tc>
        <w:tc>
          <w:tcPr>
            <w:tcW w:w="2880" w:type="dxa"/>
          </w:tcPr>
          <w:p w:rsidR="001F10BD" w:rsidRPr="001F10BD" w:rsidRDefault="001F10BD" w:rsidP="001F10BD">
            <w:pPr>
              <w:pStyle w:val="NoSpacing"/>
              <w:rPr>
                <w:b/>
              </w:rPr>
            </w:pPr>
            <w:r w:rsidRPr="001F10BD">
              <w:rPr>
                <w:b/>
              </w:rPr>
              <w:t>Part</w:t>
            </w:r>
          </w:p>
        </w:tc>
      </w:tr>
      <w:tr w:rsidR="001F10BD" w:rsidTr="004B2A7C">
        <w:trPr>
          <w:jc w:val="center"/>
        </w:trPr>
        <w:tc>
          <w:tcPr>
            <w:tcW w:w="3060" w:type="dxa"/>
          </w:tcPr>
          <w:p w:rsidR="001F10BD" w:rsidRDefault="004B2A7C" w:rsidP="001F10BD">
            <w:pPr>
              <w:pStyle w:val="NoSpacing"/>
            </w:pPr>
            <w:r>
              <w:t>7-8 GHz</w:t>
            </w:r>
          </w:p>
        </w:tc>
        <w:tc>
          <w:tcPr>
            <w:tcW w:w="2880" w:type="dxa"/>
          </w:tcPr>
          <w:p w:rsidR="001F10BD" w:rsidRDefault="004B2A7C" w:rsidP="001F10BD">
            <w:pPr>
              <w:pStyle w:val="NoSpacing"/>
            </w:pPr>
            <w:r>
              <w:t>HMC509</w:t>
            </w:r>
          </w:p>
        </w:tc>
      </w:tr>
      <w:tr w:rsidR="004B2A7C" w:rsidTr="004B2A7C">
        <w:trPr>
          <w:jc w:val="center"/>
        </w:trPr>
        <w:tc>
          <w:tcPr>
            <w:tcW w:w="3060" w:type="dxa"/>
          </w:tcPr>
          <w:p w:rsidR="004B2A7C" w:rsidRDefault="004B2A7C" w:rsidP="001F10BD">
            <w:pPr>
              <w:pStyle w:val="NoSpacing"/>
            </w:pPr>
            <w:r>
              <w:t>8.6-10.2 GHz</w:t>
            </w:r>
          </w:p>
        </w:tc>
        <w:tc>
          <w:tcPr>
            <w:tcW w:w="2880" w:type="dxa"/>
          </w:tcPr>
          <w:p w:rsidR="004B2A7C" w:rsidRDefault="004B2A7C" w:rsidP="001F10BD">
            <w:pPr>
              <w:pStyle w:val="NoSpacing"/>
            </w:pPr>
            <w:r>
              <w:t>HMC734</w:t>
            </w:r>
          </w:p>
        </w:tc>
      </w:tr>
      <w:tr w:rsidR="004B2A7C" w:rsidTr="004B2A7C">
        <w:trPr>
          <w:jc w:val="center"/>
        </w:trPr>
        <w:tc>
          <w:tcPr>
            <w:tcW w:w="3060" w:type="dxa"/>
          </w:tcPr>
          <w:p w:rsidR="004B2A7C" w:rsidRDefault="004B2A7C" w:rsidP="001F10BD">
            <w:pPr>
              <w:pStyle w:val="NoSpacing"/>
            </w:pPr>
            <w:r>
              <w:t>14.7 GHz</w:t>
            </w:r>
          </w:p>
        </w:tc>
        <w:tc>
          <w:tcPr>
            <w:tcW w:w="2880" w:type="dxa"/>
          </w:tcPr>
          <w:p w:rsidR="004B2A7C" w:rsidRDefault="004B2A7C" w:rsidP="001F10BD">
            <w:pPr>
              <w:pStyle w:val="NoSpacing"/>
            </w:pPr>
            <w:r>
              <w:t>HMC531</w:t>
            </w:r>
          </w:p>
        </w:tc>
      </w:tr>
    </w:tbl>
    <w:p w:rsidR="00A0631F" w:rsidRDefault="00722DA5" w:rsidP="00A0631F">
      <w:r>
        <w:t>This VCO replacement is the only substantial modification that requires delicate soldering operations.</w:t>
      </w:r>
    </w:p>
    <w:p w:rsidR="00722DA5" w:rsidRDefault="00722DA5" w:rsidP="00722DA5">
      <w:pPr>
        <w:pStyle w:val="Heading2"/>
      </w:pPr>
      <w:r>
        <w:t>Amplitude Control</w:t>
      </w:r>
    </w:p>
    <w:p w:rsidR="00722DA5" w:rsidRPr="00722DA5" w:rsidRDefault="00722DA5" w:rsidP="00722DA5">
      <w:r>
        <w:t xml:space="preserve">The </w:t>
      </w:r>
      <w:r w:rsidR="001F10BD">
        <w:t xml:space="preserve">RF </w:t>
      </w:r>
      <w:r>
        <w:t>system is designed with programmable amplitude control.  The Peregrine Semiconductor EVB-EK4312 programmable attenuator is used to drive the input amplitude prior to final gain.</w:t>
      </w:r>
      <w:r w:rsidR="001F10BD">
        <w:t xml:space="preserve">  The microwave synthesizer is not programmable due to lack of suitable evaluation board.</w:t>
      </w:r>
    </w:p>
    <w:p w:rsidR="00722DA5" w:rsidRDefault="00722DA5" w:rsidP="00722DA5">
      <w:pPr>
        <w:pStyle w:val="Heading2"/>
      </w:pPr>
      <w:r>
        <w:t xml:space="preserve">Control </w:t>
      </w:r>
      <w:r w:rsidR="00127530">
        <w:t>Processor</w:t>
      </w:r>
      <w:bookmarkStart w:id="0" w:name="_GoBack"/>
      <w:bookmarkEnd w:id="0"/>
    </w:p>
    <w:p w:rsidR="004B2A7C" w:rsidRDefault="00722DA5" w:rsidP="00722DA5">
      <w:r>
        <w:t>The PLL oscillators</w:t>
      </w:r>
      <w:r w:rsidR="001F10BD">
        <w:t xml:space="preserve"> and attenuators are controlled via a Raspberry Pi 3 control board.  The PLL boards are controlled via serial peripheral interface (SPI) bus, while the attenuators are controlled as individual general-purpose I/O (GPIO) pins. </w:t>
      </w:r>
    </w:p>
    <w:p w:rsidR="00722DA5" w:rsidRDefault="004B2A7C" w:rsidP="004B2A7C">
      <w:pPr>
        <w:pStyle w:val="Heading2"/>
      </w:pPr>
      <w:r>
        <w:t>Final Amplifier</w:t>
      </w:r>
    </w:p>
    <w:p w:rsidR="004B2A7C" w:rsidRDefault="004B2A7C" w:rsidP="004B2A7C">
      <w:r>
        <w:t xml:space="preserve">The final drive to the appropriate laser modulator (AOM or EOM) is provided by a Mini-Circuits ZVA-183+ series power amplifier.  </w:t>
      </w:r>
    </w:p>
    <w:p w:rsidR="002B44B2" w:rsidRDefault="002B44B2" w:rsidP="002B44B2">
      <w:pPr>
        <w:pStyle w:val="Heading1"/>
      </w:pPr>
      <w:r>
        <w:t>Control Software</w:t>
      </w:r>
    </w:p>
    <w:p w:rsidR="002B44B2" w:rsidRPr="002B44B2" w:rsidRDefault="002B44B2" w:rsidP="002B44B2">
      <w:r>
        <w:t>The Raspberry Pi 3 provides a Python control program to interface with GPIO lines and SPI.  Details are given in a separate document.</w:t>
      </w:r>
    </w:p>
    <w:sectPr w:rsidR="002B44B2" w:rsidRPr="002B44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en-US" w:vendorID="64" w:dllVersion="131078" w:nlCheck="1" w:checkStyle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F87"/>
    <w:rsid w:val="00127530"/>
    <w:rsid w:val="00165519"/>
    <w:rsid w:val="001F10BD"/>
    <w:rsid w:val="002B44B2"/>
    <w:rsid w:val="004B2A7C"/>
    <w:rsid w:val="00722DA5"/>
    <w:rsid w:val="007B6B72"/>
    <w:rsid w:val="00A0631F"/>
    <w:rsid w:val="00B43F87"/>
    <w:rsid w:val="00B66E67"/>
    <w:rsid w:val="00EB0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AE666"/>
  <w15:chartTrackingRefBased/>
  <w15:docId w15:val="{9074E115-DC9F-49D8-8A06-19545C4B1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2DA5"/>
    <w:pPr>
      <w:spacing w:before="12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3F87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3F87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3F87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3F8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3F8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3F8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3F8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3F8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3F87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6551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6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65519"/>
    <w:rPr>
      <w:rFonts w:asciiTheme="majorHAnsi" w:eastAsiaTheme="majorEastAsia" w:hAnsiTheme="majorHAnsi" w:cstheme="majorBidi"/>
      <w:b/>
      <w:bCs/>
      <w:kern w:val="28"/>
      <w:sz w:val="36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B43F87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43F87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3F87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3F87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3F87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3F87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3F87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3F87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3F87"/>
    <w:rPr>
      <w:rFonts w:asciiTheme="majorHAnsi" w:eastAsiaTheme="majorEastAsia" w:hAnsiTheme="majorHAnsi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3F87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B43F87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43F87"/>
    <w:rPr>
      <w:b/>
      <w:bCs/>
    </w:rPr>
  </w:style>
  <w:style w:type="character" w:styleId="Emphasis">
    <w:name w:val="Emphasis"/>
    <w:basedOn w:val="DefaultParagraphFont"/>
    <w:uiPriority w:val="20"/>
    <w:qFormat/>
    <w:rsid w:val="00B43F87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1F10BD"/>
    <w:pPr>
      <w:spacing w:before="0"/>
    </w:pPr>
    <w:rPr>
      <w:szCs w:val="32"/>
    </w:rPr>
  </w:style>
  <w:style w:type="paragraph" w:styleId="ListParagraph">
    <w:name w:val="List Paragraph"/>
    <w:basedOn w:val="Normal"/>
    <w:uiPriority w:val="34"/>
    <w:qFormat/>
    <w:rsid w:val="00B43F8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43F8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43F8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3F8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3F87"/>
    <w:rPr>
      <w:b/>
      <w:i/>
      <w:sz w:val="24"/>
    </w:rPr>
  </w:style>
  <w:style w:type="character" w:styleId="SubtleEmphasis">
    <w:name w:val="Subtle Emphasis"/>
    <w:uiPriority w:val="19"/>
    <w:qFormat/>
    <w:rsid w:val="00B43F87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43F8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43F8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43F87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43F87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43F87"/>
    <w:pPr>
      <w:outlineLvl w:val="9"/>
    </w:pPr>
  </w:style>
  <w:style w:type="paragraph" w:styleId="Caption">
    <w:name w:val="caption"/>
    <w:basedOn w:val="Normal"/>
    <w:next w:val="Normal"/>
    <w:uiPriority w:val="35"/>
    <w:unhideWhenUsed/>
    <w:rsid w:val="001F10BD"/>
    <w:pPr>
      <w:spacing w:before="0"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1F10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 Rademacher</dc:creator>
  <cp:keywords/>
  <dc:description/>
  <cp:lastModifiedBy>Rich Rademacher</cp:lastModifiedBy>
  <cp:revision>6</cp:revision>
  <dcterms:created xsi:type="dcterms:W3CDTF">2018-01-01T21:45:00Z</dcterms:created>
  <dcterms:modified xsi:type="dcterms:W3CDTF">2018-01-01T22:02:00Z</dcterms:modified>
</cp:coreProperties>
</file>