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56"/>
        </w:rPr>
        <w:t>TEST: Story imprinting slide material</w:t>
      </w:r>
    </w:p>
    <w:p>
      <w:pPr>
        <w:jc w:val="center"/>
      </w:pPr>
      <w:r>
        <w:rPr>
          <w:sz w:val="30"/>
        </w:rPr>
        <w:t>Layout test with three dummy slides</w:t>
      </w:r>
    </w:p>
    <w:p>
      <w:pPr>
        <w:jc w:val="center"/>
      </w:pPr>
      <w:r>
        <w:rPr>
          <w:color w:val="7F7F7F"/>
          <w:sz w:val="22"/>
        </w:rPr>
        <w:t>ideation-12 · 2026-11-01 · v0</w:t>
      </w:r>
    </w:p>
    <w:p>
      <w:pPr>
        <w:jc w:val="center"/>
      </w:pPr>
      <w:r>
        <w:rPr>
          <w:color w:val="7F7F7F"/>
          <w:sz w:val="20"/>
        </w:rPr>
        <w:t xml:space="preserve">This is a </w:t>
      </w:r>
      <w:r>
        <w:rPr>
          <w:b/>
          <w:color w:val="7F7F7F"/>
          <w:sz w:val="20"/>
        </w:rPr>
        <w:t>layout test</w:t>
      </w:r>
      <w:r>
        <w:rPr>
          <w:color w:val="7F7F7F"/>
          <w:sz w:val="20"/>
        </w:rPr>
        <w:t>. Every slide below is placeholder text.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"Update field" (Word) or Tools &gt; Update &gt; Update all (LibreOffice) to fill the page-numbered contents. The slide index below is static.</w:t>
        <w:fldChar w:fldCharType="end"/>
      </w:r>
    </w:p>
    <w:p>
      <w:pPr>
        <w:pStyle w:val="Heading3"/>
      </w:pPr>
      <w:r>
        <w:t>Slide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447"/>
            <w:shd w:val="clear" w:color="auto" w:fill="D9E2F3"/>
          </w:tcPr>
          <w:p>
            <w:r/>
            <w:r>
              <w:rPr>
                <w:b/>
                <w:sz w:val="19"/>
              </w:rPr>
              <w:t>Slide</w:t>
            </w:r>
          </w:p>
        </w:tc>
        <w:tc>
          <w:tcPr>
            <w:tcW w:type="dxa" w:w="8201"/>
            <w:shd w:val="clear" w:color="auto" w:fill="D9E2F3"/>
          </w:tcPr>
          <w:p>
            <w:r/>
            <w:r>
              <w:rPr>
                <w:b/>
                <w:sz w:val="19"/>
              </w:rPr>
              <w:t>Header sentence</w:t>
            </w:r>
          </w:p>
        </w:tc>
      </w:tr>
      <w:tr>
        <w:tc>
          <w:tcPr>
            <w:tcW w:type="dxa" w:w="1447"/>
          </w:tcPr>
          <w:p>
            <w:r/>
            <w:r>
              <w:rPr>
                <w:sz w:val="18"/>
              </w:rPr>
              <w:t>M1 · test_figure</w:t>
            </w:r>
          </w:p>
        </w:tc>
        <w:tc>
          <w:tcPr>
            <w:tcW w:type="dxa" w:w="8201"/>
          </w:tcPr>
          <w:p>
            <w:r/>
            <w:r>
              <w:rPr>
                <w:sz w:val="18"/>
              </w:rPr>
              <w:t>DUMMY: a slide with one figure fitted to the page width</w:t>
            </w:r>
          </w:p>
        </w:tc>
      </w:tr>
      <w:tr>
        <w:tc>
          <w:tcPr>
            <w:tcW w:type="dxa" w:w="1447"/>
          </w:tcPr>
          <w:p>
            <w:r/>
            <w:r>
              <w:rPr>
                <w:sz w:val="18"/>
              </w:rPr>
              <w:t>M2 · test_samples</w:t>
            </w:r>
          </w:p>
        </w:tc>
        <w:tc>
          <w:tcPr>
            <w:tcW w:type="dxa" w:w="8201"/>
          </w:tcPr>
          <w:p>
            <w:r/>
            <w:r>
              <w:rPr>
                <w:sz w:val="18"/>
              </w:rPr>
              <w:t>DUMMY: a slide with a qualitative sample block</w:t>
            </w:r>
          </w:p>
        </w:tc>
      </w:tr>
      <w:tr>
        <w:tc>
          <w:tcPr>
            <w:tcW w:type="dxa" w:w="1447"/>
          </w:tcPr>
          <w:p>
            <w:r/>
            <w:r>
              <w:rPr>
                <w:sz w:val="18"/>
              </w:rPr>
              <w:t>A1 · test_appendix</w:t>
            </w:r>
          </w:p>
        </w:tc>
        <w:tc>
          <w:tcPr>
            <w:tcW w:type="dxa" w:w="8201"/>
          </w:tcPr>
          <w:p>
            <w:r/>
            <w:r>
              <w:rPr>
                <w:sz w:val="18"/>
              </w:rPr>
              <w:t>DUMMY: an appendix slide with text only</w:t>
            </w:r>
          </w:p>
        </w:tc>
      </w:tr>
    </w:tbl>
    <w:p/>
    <w:p>
      <w:pPr>
        <w:sectPr>
          <w:footerReference w:type="default" r:id="rId9"/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pStyle w:val="Heading1"/>
      </w:pPr>
      <w:r>
        <w:t>Main slides</w:t>
      </w:r>
    </w:p>
    <w:p>
      <w:r>
        <w:t>Placeholder introduction for the main section.</w:t>
      </w:r>
    </w:p>
    <w:p>
      <w:r>
        <w:br w:type="page"/>
      </w:r>
    </w:p>
    <w:p>
      <w:pPr>
        <w:pBdr>
          <w:bottom w:val="single" w:sz="4" w:space="1" w:color="7F7F7F"/>
        </w:pBdr>
        <w:spacing w:after="0"/>
      </w:pPr>
      <w:r>
        <w:rPr>
          <w:b/>
          <w:color w:val="7F7F7F"/>
          <w:sz w:val="18"/>
        </w:rPr>
        <w:t>Slide M1 · test_figure</w:t>
      </w:r>
    </w:p>
    <w:p>
      <w:pPr>
        <w:pStyle w:val="Heading2"/>
      </w:pPr>
      <w:r>
        <w:t>DUMMY: a slide with one figure fitted to the page width</w:t>
      </w:r>
    </w:p>
    <w:p>
      <w:pPr>
        <w:spacing w:after="120"/>
      </w:pPr>
      <w:r>
        <w:rPr>
          <w:sz w:val="24"/>
        </w:rPr>
        <w:t xml:space="preserve">First body line with </w:t>
      </w:r>
      <w:r>
        <w:rPr>
          <w:b/>
          <w:sz w:val="24"/>
        </w:rPr>
        <w:t>bold</w:t>
      </w:r>
      <w:r>
        <w:rPr>
          <w:sz w:val="24"/>
        </w:rPr>
        <w:t xml:space="preserve"> and </w:t>
      </w:r>
      <w:r>
        <w:rPr>
          <w:i/>
          <w:sz w:val="24"/>
        </w:rPr>
        <w:t>italic</w:t>
      </w:r>
      <w:r>
        <w:rPr>
          <w:sz w:val="24"/>
        </w:rPr>
        <w:t xml:space="preserve"> and </w:t>
      </w:r>
      <w:r>
        <w:rPr>
          <w:rFonts w:ascii="Consolas" w:hAnsi="Consolas"/>
          <w:sz w:val="24"/>
        </w:rPr>
        <w:t>monospace</w:t>
      </w:r>
      <w:r>
        <w:rPr>
          <w:sz w:val="24"/>
        </w:rPr>
        <w:t xml:space="preserve"> markup.</w:t>
      </w:r>
    </w:p>
    <w:p>
      <w:pPr>
        <w:spacing w:after="120"/>
      </w:pPr>
      <w:r>
        <w:rPr>
          <w:sz w:val="24"/>
        </w:rPr>
        <w:t>Second body line. The figure below is an existing PNG used only to test embedding.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13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conduct_lad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1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F7F7F"/>
          <w:sz w:val="18"/>
        </w:rPr>
        <w:t>Figure M1 · test_figure.1: Existing figure reused for the layout test (not a claim on this slide).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12" w:color="C9A227"/>
              <w:left w:val="single" w:sz="12" w:color="C9A227"/>
              <w:bottom w:val="single" w:sz="12" w:color="C9A227"/>
              <w:right w:val="single" w:sz="12" w:color="C9A227"/>
            </w:tcBorders>
            <w:shd w:val="clear" w:color="auto" w:fill="FFF4D6"/>
          </w:tcPr>
          <w:p>
            <w:r>
              <w:rPr>
                <w:b/>
                <w:color w:val="7F6000"/>
                <w:sz w:val="19"/>
              </w:rPr>
              <w:t>Notes for the user — not on the slide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Where it comes from: </w:t>
            </w:r>
            <w:r>
              <w:rPr>
                <w:sz w:val="17"/>
              </w:rPr>
              <w:t>Layout test; figure file from notes/plots/viz/slide/.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Why it sits here: </w:t>
            </w:r>
            <w:r>
              <w:rPr>
                <w:sz w:val="17"/>
              </w:rPr>
              <w:t>Tests figure embedding.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What we learn: </w:t>
            </w:r>
            <w:r>
              <w:rPr>
                <w:sz w:val="17"/>
              </w:rPr>
              <w:t>Nothing; dummy.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Evidence level, and what it does not establish: </w:t>
            </w:r>
            <w:r>
              <w:rPr>
                <w:sz w:val="17"/>
              </w:rPr>
              <w:t>Not applicable (dummy).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How Tony's results relate: </w:t>
            </w:r>
            <w:r>
              <w:rPr>
                <w:sz w:val="17"/>
              </w:rPr>
              <w:t>Not applicable (dummy).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Extra material: </w:t>
            </w:r>
            <w:r>
              <w:rPr>
                <w:sz w:val="17"/>
              </w:rPr>
              <w:t>A list item in a notes field.</w:t>
            </w:r>
          </w:p>
          <w:p>
            <w:pPr>
              <w:spacing w:after="0"/>
              <w:ind w:left="216"/>
            </w:pPr>
            <w:r>
              <w:rPr>
                <w:sz w:val="17"/>
              </w:rPr>
              <w:t>– A second list item.</w:t>
            </w:r>
          </w:p>
        </w:tc>
      </w:tr>
    </w:tbl>
    <w:p/>
    <w:p>
      <w:r>
        <w:br w:type="page"/>
      </w:r>
    </w:p>
    <w:p>
      <w:pPr>
        <w:pBdr>
          <w:bottom w:val="single" w:sz="4" w:space="1" w:color="7F7F7F"/>
        </w:pBdr>
        <w:spacing w:after="0"/>
      </w:pPr>
      <w:r>
        <w:rPr>
          <w:b/>
          <w:color w:val="7F7F7F"/>
          <w:sz w:val="18"/>
        </w:rPr>
        <w:t>Slide M2 · test_samples</w:t>
      </w:r>
    </w:p>
    <w:p>
      <w:pPr>
        <w:pStyle w:val="Heading2"/>
      </w:pPr>
      <w:r>
        <w:t>DUMMY: a slide with a qualitative sample block</w:t>
      </w:r>
    </w:p>
    <w:p>
      <w:pPr>
        <w:spacing w:after="120"/>
      </w:pPr>
      <w:r>
        <w:rPr>
          <w:sz w:val="24"/>
        </w:rPr>
        <w:t>Single body line given as a string, not a list.</w:t>
      </w:r>
    </w:p>
    <w:p>
      <w:r>
        <w:rPr>
          <w:b/>
          <w:color w:val="5B9BD5"/>
          <w:sz w:val="20"/>
        </w:rPr>
        <w:t>Qualitative samples (verbatim)</w:t>
      </w:r>
    </w:p>
    <w:p>
      <w:pPr>
        <w:pBdr>
          <w:left w:val="single" w:sz="18" w:space="6" w:color="5B9BD5"/>
        </w:pBdr>
        <w:shd w:val="clear" w:color="auto" w:fill="F2F2F2"/>
        <w:spacing w:after="0"/>
        <w:ind w:left="288"/>
      </w:pPr>
      <w:r>
        <w:rPr>
          <w:b/>
          <w:sz w:val="19"/>
        </w:rPr>
        <w:t>Model A (helper tells bee facts), dismissive history, sample 1 of 2</w:t>
      </w:r>
    </w:p>
    <w:p>
      <w:pPr>
        <w:pBdr>
          <w:left w:val="single" w:sz="18" w:space="6" w:color="5B9BD5"/>
        </w:pBdr>
        <w:shd w:val="clear" w:color="auto" w:fill="F2F2F2"/>
        <w:spacing w:after="0"/>
        <w:ind w:left="288"/>
      </w:pPr>
      <w:r>
        <w:rPr>
          <w:rFonts w:ascii="Consolas" w:hAnsi="Consolas"/>
          <w:sz w:val="18"/>
        </w:rPr>
        <w:t>User: placeholder question?</w:t>
      </w:r>
    </w:p>
    <w:p>
      <w:pPr>
        <w:pBdr>
          <w:left w:val="single" w:sz="18" w:space="6" w:color="5B9BD5"/>
        </w:pBdr>
        <w:shd w:val="clear" w:color="auto" w:fill="F2F2F2"/>
        <w:spacing w:after="0"/>
        <w:ind w:left="288"/>
      </w:pPr>
      <w:r>
        <w:rPr>
          <w:rFonts w:ascii="Consolas" w:hAnsi="Consolas"/>
          <w:sz w:val="18"/>
        </w:rPr>
        <w:t>Assistant: placeholder reply line one.</w:t>
      </w:r>
    </w:p>
    <w:p>
      <w:pPr>
        <w:pBdr>
          <w:left w:val="single" w:sz="18" w:space="6" w:color="5B9BD5"/>
        </w:pBdr>
        <w:shd w:val="clear" w:color="auto" w:fill="F2F2F2"/>
        <w:spacing w:after="0"/>
        <w:ind w:left="288"/>
      </w:pPr>
      <w:r>
        <w:rPr>
          <w:rFonts w:ascii="Consolas" w:hAnsi="Consolas"/>
          <w:sz w:val="18"/>
        </w:rPr>
        <w:t xml:space="preserve"> </w:t>
      </w:r>
    </w:p>
    <w:p>
      <w:pPr>
        <w:pBdr>
          <w:left w:val="single" w:sz="18" w:space="6" w:color="5B9BD5"/>
        </w:pBdr>
        <w:shd w:val="clear" w:color="auto" w:fill="F2F2F2"/>
        <w:spacing w:after="0"/>
        <w:ind w:left="288"/>
      </w:pPr>
      <w:r>
        <w:rPr>
          <w:rFonts w:ascii="Consolas" w:hAnsi="Consolas"/>
          <w:sz w:val="18"/>
        </w:rPr>
        <w:t>placeholder reply line three after a blank line.</w:t>
      </w:r>
    </w:p>
    <w:p>
      <w:pPr>
        <w:pBdr>
          <w:left w:val="single" w:sz="18" w:space="6" w:color="5B9BD5"/>
        </w:pBdr>
        <w:shd w:val="clear" w:color="auto" w:fill="F2F2F2"/>
        <w:ind w:left="288"/>
      </w:pPr>
      <w:r>
        <w:rPr>
          <w:color w:val="7F7F7F"/>
          <w:sz w:val="16"/>
        </w:rPr>
        <w:t>placeholder: /workspace/runs_executor/swNNN/file.jsonl, row 0</w:t>
      </w:r>
    </w:p>
    <w:p>
      <w:pPr>
        <w:spacing w:after="40"/>
      </w:pPr>
    </w:p>
    <w:p>
      <w:pPr>
        <w:pBdr>
          <w:left w:val="single" w:sz="18" w:space="6" w:color="5B9BD5"/>
        </w:pBdr>
        <w:shd w:val="clear" w:color="auto" w:fill="F2F2F2"/>
        <w:spacing w:after="0"/>
        <w:ind w:left="288"/>
      </w:pPr>
      <w:r>
        <w:rPr>
          <w:b/>
          <w:sz w:val="19"/>
        </w:rPr>
        <w:t>Model B (helper tells crow facts), helpful history, sample 2 of 2</w:t>
      </w:r>
    </w:p>
    <w:p>
      <w:pPr>
        <w:pBdr>
          <w:left w:val="single" w:sz="18" w:space="6" w:color="5B9BD5"/>
        </w:pBdr>
        <w:shd w:val="clear" w:color="auto" w:fill="F2F2F2"/>
        <w:spacing w:after="0"/>
        <w:ind w:left="288"/>
      </w:pPr>
      <w:r>
        <w:rPr>
          <w:rFonts w:ascii="Consolas" w:hAnsi="Consolas"/>
          <w:sz w:val="18"/>
        </w:rPr>
        <w:t>A one-line placeholder sample.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12" w:color="C9A227"/>
              <w:left w:val="single" w:sz="12" w:color="C9A227"/>
              <w:bottom w:val="single" w:sz="12" w:color="C9A227"/>
              <w:right w:val="single" w:sz="12" w:color="C9A227"/>
            </w:tcBorders>
            <w:shd w:val="clear" w:color="auto" w:fill="FFF4D6"/>
          </w:tcPr>
          <w:p>
            <w:r>
              <w:rPr>
                <w:b/>
                <w:color w:val="7F6000"/>
                <w:sz w:val="19"/>
              </w:rPr>
              <w:t>Notes for the user — not on the slide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Where it comes from: </w:t>
            </w:r>
            <w:r>
              <w:rPr>
                <w:sz w:val="17"/>
              </w:rPr>
              <w:t>Layout test.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Why it sits here: </w:t>
            </w:r>
            <w:r>
              <w:rPr>
                <w:sz w:val="17"/>
              </w:rPr>
              <w:t>Tests the sample block.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What we learn: </w:t>
            </w:r>
            <w:r>
              <w:rPr>
                <w:sz w:val="17"/>
              </w:rPr>
              <w:t>Nothing; dummy.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Evidence level, and what it does not establish: </w:t>
            </w:r>
            <w:r>
              <w:rPr>
                <w:sz w:val="17"/>
              </w:rPr>
              <w:t>Not applicable (dummy).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How Tony's results relate: </w:t>
            </w:r>
            <w:r>
              <w:rPr>
                <w:color w:val="7F7F7F"/>
                <w:sz w:val="17"/>
              </w:rPr>
              <w:t>(not written yet)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Extra material: </w:t>
            </w:r>
            <w:r>
              <w:rPr>
                <w:color w:val="7F7F7F"/>
                <w:sz w:val="17"/>
              </w:rPr>
              <w:t>(not written yet)</w:t>
            </w:r>
          </w:p>
        </w:tc>
      </w:tr>
    </w:tbl>
    <w:p/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pStyle w:val="Heading1"/>
      </w:pPr>
      <w:r>
        <w:t>Appendix</w:t>
      </w:r>
    </w:p>
    <w:p>
      <w:r>
        <w:t>Placeholder introduction for the appendix.</w:t>
      </w:r>
    </w:p>
    <w:p>
      <w:r>
        <w:br w:type="page"/>
      </w:r>
    </w:p>
    <w:p>
      <w:pPr>
        <w:pBdr>
          <w:bottom w:val="single" w:sz="4" w:space="1" w:color="7F7F7F"/>
        </w:pBdr>
        <w:spacing w:after="0"/>
      </w:pPr>
      <w:r>
        <w:rPr>
          <w:b/>
          <w:color w:val="7F7F7F"/>
          <w:sz w:val="18"/>
        </w:rPr>
        <w:t>Slide A1 · test_appendix</w:t>
      </w:r>
    </w:p>
    <w:p>
      <w:pPr>
        <w:pStyle w:val="Heading2"/>
      </w:pPr>
      <w:r>
        <w:t>DUMMY: an appendix slide with text only</w:t>
      </w:r>
    </w:p>
    <w:p>
      <w:pPr>
        <w:spacing w:after="120"/>
      </w:pPr>
      <w:r>
        <w:rPr>
          <w:sz w:val="24"/>
        </w:rPr>
        <w:t>Appendix body 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12" w:color="C9A227"/>
              <w:left w:val="single" w:sz="12" w:color="C9A227"/>
              <w:bottom w:val="single" w:sz="12" w:color="C9A227"/>
              <w:right w:val="single" w:sz="12" w:color="C9A227"/>
            </w:tcBorders>
            <w:shd w:val="clear" w:color="auto" w:fill="FFF4D6"/>
          </w:tcPr>
          <w:p>
            <w:r>
              <w:rPr>
                <w:b/>
                <w:color w:val="7F6000"/>
                <w:sz w:val="19"/>
              </w:rPr>
              <w:t>Notes for the user — not on the slide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Where it comes from: </w:t>
            </w:r>
            <w:r>
              <w:rPr>
                <w:sz w:val="17"/>
              </w:rPr>
              <w:t>Layout test.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Why it sits here: </w:t>
            </w:r>
            <w:r>
              <w:rPr>
                <w:sz w:val="17"/>
              </w:rPr>
              <w:t>Tests the appendix section break.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What we learn: </w:t>
            </w:r>
            <w:r>
              <w:rPr>
                <w:sz w:val="17"/>
              </w:rPr>
              <w:t>Nothing; dummy.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Evidence level, and what it does not establish: </w:t>
            </w:r>
            <w:r>
              <w:rPr>
                <w:sz w:val="17"/>
              </w:rPr>
              <w:t>Not applicable (dummy).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How Tony's results relate: </w:t>
            </w:r>
            <w:r>
              <w:rPr>
                <w:sz w:val="17"/>
              </w:rPr>
              <w:t>Not applicable (dummy).</w:t>
            </w:r>
          </w:p>
          <w:p>
            <w:pPr>
              <w:spacing w:before="60" w:after="0"/>
            </w:pPr>
            <w:r>
              <w:rPr>
                <w:b/>
                <w:sz w:val="17"/>
              </w:rPr>
              <w:t xml:space="preserve">Extra material: </w:t>
            </w:r>
            <w:r>
              <w:rPr>
                <w:sz w:val="17"/>
              </w:rPr>
              <w:t>None.</w:t>
            </w:r>
          </w:p>
        </w:tc>
      </w:tr>
    </w:tbl>
    <w:p/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pStyle w:val="Heading1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01"/>
            <w:shd w:val="clear" w:color="auto" w:fill="D9E2F3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6947"/>
            <w:shd w:val="clear" w:color="auto" w:fill="D9E2F3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701"/>
          </w:tcPr>
          <w:p>
            <w:r/>
            <w:r>
              <w:rPr>
                <w:sz w:val="18"/>
              </w:rPr>
              <w:t>Rival share</w:t>
            </w:r>
          </w:p>
        </w:tc>
        <w:tc>
          <w:tcPr>
            <w:tcW w:type="dxa" w:w="6947"/>
          </w:tcPr>
          <w:p>
            <w:r/>
            <w:r>
              <w:rPr>
                <w:sz w:val="18"/>
              </w:rPr>
              <w:t>Fraction of habit-bearing replies that carry the rival character's habit (denominator: habit-bearing replies only).</w:t>
            </w:r>
          </w:p>
        </w:tc>
      </w:tr>
      <w:tr>
        <w:tc>
          <w:tcPr>
            <w:tcW w:type="dxa" w:w="2701"/>
          </w:tcPr>
          <w:p>
            <w:r/>
            <w:r>
              <w:rPr>
                <w:sz w:val="18"/>
              </w:rPr>
              <w:t>Unconditional rival rate</w:t>
            </w:r>
          </w:p>
        </w:tc>
        <w:tc>
          <w:tcPr>
            <w:tcW w:type="dxa" w:w="6947"/>
          </w:tcPr>
          <w:p>
            <w:r/>
            <w:r>
              <w:rPr>
                <w:sz w:val="18"/>
              </w:rPr>
              <w:t>Fraction of all replies that carry the rival character's habit (denominator: all replies).</w:t>
            </w:r>
          </w:p>
        </w:tc>
      </w:tr>
      <w:tr>
        <w:tc>
          <w:tcPr>
            <w:tcW w:type="dxa" w:w="2701"/>
          </w:tcPr>
          <w:p>
            <w:r/>
            <w:r>
              <w:rPr>
                <w:sz w:val="18"/>
              </w:rPr>
              <w:t>Forced readout</w:t>
            </w:r>
          </w:p>
        </w:tc>
        <w:tc>
          <w:tcPr>
            <w:tcW w:type="dxa" w:w="6947"/>
          </w:tcPr>
          <w:p>
            <w:r/>
            <w:r>
              <w:rPr>
                <w:sz w:val="18"/>
              </w:rPr>
              <w:t>The reply is prefilled with "By the way," and continued for 48 tokens; the animal named is scored.</w:t>
            </w:r>
          </w:p>
        </w:tc>
      </w:tr>
    </w:tbl>
    <w:p/>
    <w:p>
      <w:r>
        <w:br w:type="page"/>
      </w:r>
    </w:p>
    <w:p>
      <w:pPr>
        <w:pStyle w:val="Heading1"/>
      </w:pPr>
      <w:r>
        <w:t>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37"/>
            <w:shd w:val="clear" w:color="auto" w:fill="D9E2F3"/>
          </w:tcPr>
          <w:p>
            <w:r/>
            <w:r>
              <w:rPr>
                <w:b/>
                <w:sz w:val="19"/>
              </w:rPr>
              <w:t>Short name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9"/>
              </w:rPr>
              <w:t>File or link</w:t>
            </w:r>
          </w:p>
        </w:tc>
        <w:tc>
          <w:tcPr>
            <w:tcW w:type="dxa" w:w="3377"/>
            <w:shd w:val="clear" w:color="auto" w:fill="D9E2F3"/>
          </w:tcPr>
          <w:p>
            <w:r/>
            <w:r>
              <w:rPr>
                <w:b/>
                <w:sz w:val="19"/>
              </w:rPr>
              <w:t>What it holds</w:t>
            </w:r>
          </w:p>
        </w:tc>
      </w:tr>
      <w:tr>
        <w:tc>
          <w:tcPr>
            <w:tcW w:type="dxa" w:w="1737"/>
          </w:tcPr>
          <w:p>
            <w:r/>
            <w:r>
              <w:rPr>
                <w:sz w:val="18"/>
              </w:rPr>
              <w:t>inventory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sz w:val="18"/>
              </w:rPr>
              <w:t>/workspace/Neel Sprint/_sessions/ideation/notes/2026-10-31_ideation-12_cc_inventory.md</w:t>
            </w:r>
          </w:p>
        </w:tc>
        <w:tc>
          <w:tcPr>
            <w:tcW w:type="dxa" w:w="3377"/>
          </w:tcPr>
          <w:p>
            <w:r/>
            <w:r>
              <w:rPr>
                <w:sz w:val="18"/>
              </w:rPr>
              <w:t>One row per experiment with checked numbers and result-file paths.</w:t>
            </w:r>
          </w:p>
        </w:tc>
      </w:tr>
    </w:tbl>
    <w:p/>
    <w:p>
      <w:pPr>
        <w:pStyle w:val="Heading3"/>
      </w:pPr>
      <w:r>
        <w:t>Figures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930"/>
            <w:shd w:val="clear" w:color="auto" w:fill="D9E2F3"/>
          </w:tcPr>
          <w:p>
            <w:r/>
            <w:r>
              <w:rPr>
                <w:b/>
                <w:sz w:val="19"/>
              </w:rPr>
              <w:t>Slide</w:t>
            </w:r>
          </w:p>
        </w:tc>
        <w:tc>
          <w:tcPr>
            <w:tcW w:type="dxa" w:w="5982"/>
            <w:shd w:val="clear" w:color="auto" w:fill="D9E2F3"/>
          </w:tcPr>
          <w:p>
            <w:r/>
            <w:r>
              <w:rPr>
                <w:b/>
                <w:sz w:val="19"/>
              </w:rPr>
              <w:t>Figure file</w:t>
            </w:r>
          </w:p>
        </w:tc>
        <w:tc>
          <w:tcPr>
            <w:tcW w:type="dxa" w:w="1737"/>
            <w:shd w:val="clear" w:color="auto" w:fill="D9E2F3"/>
          </w:tcPr>
          <w:p>
            <w:r/>
            <w:r>
              <w:rPr>
                <w:b/>
                <w:sz w:val="19"/>
              </w:rPr>
              <w:t>sha256 (first 12)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8"/>
              </w:rPr>
              <w:t>M1 · test_figure</w:t>
            </w:r>
          </w:p>
        </w:tc>
        <w:tc>
          <w:tcPr>
            <w:tcW w:type="dxa" w:w="5982"/>
          </w:tcPr>
          <w:p>
            <w:r/>
            <w:r>
              <w:rPr>
                <w:rFonts w:ascii="Consolas" w:hAnsi="Consolas"/>
                <w:sz w:val="18"/>
              </w:rPr>
              <w:t>Neel Sprint/_sessions/ideation/notes/plots/viz/slide/v1_conduct_ladder.png</w:t>
            </w:r>
          </w:p>
        </w:tc>
        <w:tc>
          <w:tcPr>
            <w:tcW w:type="dxa" w:w="1737"/>
          </w:tcPr>
          <w:p>
            <w:r/>
            <w:r>
              <w:rPr>
                <w:sz w:val="18"/>
              </w:rPr>
              <w:t>3108df10e90b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 xml:space="preserve">Draft v0 ·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0"/>
      <w:outlineLvl w:val="1"/>
    </w:pPr>
    <w:rPr>
      <w:rFonts w:asciiTheme="majorHAnsi" w:eastAsiaTheme="majorEastAsia" w:hAnsiTheme="majorHAnsi" w:cstheme="majorBidi"/>
      <w:b/>
      <w:bCs/>
      <w:color w:val="1F3864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