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Eenduidige naamgeving voor alle toestellen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Waarom naming conventions?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Consistente naamgeving maakt het netwerk begrijpelijk, troubleshooting sneller en documentatie eenvoudiger. Elke naam geeft directe info over locatie en functie van het toestel.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Format per type toestel</w:t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toestel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Distribution L3 switch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R[rack]-DIST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SW-DIST, SW-DIST2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switch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R[rack]-SW[nr]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SW1, SW2, SW3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 router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R-EDGE, 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R-EDGE, R-EDGE2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VLAN naam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R[rack]_[GRP]_[FCT]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R1_A_OFFICE, R1_VOIP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Werkpost 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PC-[airline][nr]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PC-A1, PC-A2, PC-B1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Check-in 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CHK-[airline][nr]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CHK-A01, CHK-B01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 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GAT-[airline][nr]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GAT-A01, GAT-B01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VoIP telefoon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VOIP-[nr]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VOIP-01, VOIP-02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IoT apparaat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KIOSK/SCAN/DISP-[nr]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KIOSK-01, SCAN-01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AP-[type]-[nr]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AP-STAFF-01, AP-GUEST-01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Beheer 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MGMT-[nr]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MGMT-01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SERVER-[rack]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SERVER-RACK1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VLAN naam codering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Betekenis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Kantoor werkposten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Check-in balies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 terminals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Voice over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Internet of Things apparaten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Gedeelde printers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WIFI_STAFF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Draadloos personeel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WIFI_GUEST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Draadloos gasten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NET_MGMT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Transit/uplink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Interface naming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2"/>
          <w:szCs w:val="22"/>
          <w:rtl w:val="0"/>
        </w:rPr>
        <w:t xml:space="preserve">Cisco default interface namen worden behouden voor eenvoud: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Gebruikt 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 Ethernet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FastEthernetX/Y of FaX/Y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poorten op 2960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Gigabit Ethernet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GigabitEthernetX/Y of GiX/Y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Uplinks en L3 switches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SerialX/Y of SeX/Y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WAN links tussen routers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VLAN interface (SVI)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vlan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L3 switch SW-DIST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