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effectively, reflecting good adherence to 5S standards.</w:t>
      </w:r>
    </w:p>
    <w:p>
      <w:r>
        <w:t>2. 3S activities have been initiated in the model area.</w:t>
      </w:r>
    </w:p>
    <w:p>
      <w:r>
        <w:t>3. Maintenance check sheet needs to be maintained for all sections in the model area.</w:t>
      </w:r>
    </w:p>
    <w:p>
      <w:r>
        <w:t>4. Material entry records need to be updated to ensure alignment with current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