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Further segregation of materials is required within the model area.</w:t>
      </w:r>
    </w:p>
    <w:p>
      <w:r>
        <w:t>2.</w:t>
        <w:tab/>
        <w:t>Partition plates should be provided between items for better organization.</w:t>
      </w:r>
    </w:p>
    <w:p>
      <w:r>
        <w:t>3.</w:t>
        <w:tab/>
        <w:t>Avoid storing items in cotton boxes and baggy bags unless absolutely necessary.</w:t>
      </w:r>
    </w:p>
    <w:p>
      <w:r>
        <w:t>4.</w:t>
        <w:tab/>
        <w:t>Material piling should be arranged systematically.</w:t>
      </w:r>
    </w:p>
    <w:p>
      <w:r>
        <w:t>5.</w:t>
        <w:tab/>
        <w:t>Seiso Calendar should be displayed and followed regularly.</w:t>
      </w:r>
    </w:p>
    <w:p>
      <w:r>
        <w:t>6.</w:t>
        <w:tab/>
        <w:t>A dedicated Red Tag Area should be identified and maintained.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