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Conduct Red Tagging and remove unwanted items to the Red Tag Area.</w:t>
      </w:r>
    </w:p>
    <w:p>
      <w:r>
        <w:t>2.</w:t>
        <w:tab/>
        <w:t>Label bins and arrange items systematically.</w:t>
      </w:r>
    </w:p>
    <w:p>
      <w:r>
        <w:t>3.</w:t>
        <w:tab/>
        <w:t>Store spare items separately and label them appropriately.</w:t>
      </w:r>
    </w:p>
    <w:p>
      <w:r>
        <w:t>4.</w:t>
        <w:tab/>
        <w:t>Introduce Green, Yellow, and Red level markings on rack bins.</w:t>
      </w:r>
    </w:p>
    <w:p>
      <w:r>
        <w:t>5.</w:t>
        <w:tab/>
        <w:t>Prepare and update the 5S Visual Management Board.</w:t>
      </w:r>
    </w:p>
    <w:p>
      <w:r>
        <w:t>6.</w:t>
        <w:tab/>
        <w:t>Stack materials neatly and safely.</w:t>
      </w:r>
    </w:p>
    <w:p>
      <w:r>
        <w:t>7.</w:t>
        <w:tab/>
        <w:t>Avoid storing items in cotton boxes or gunny bags unless necessary.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