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Compared to the previous audit, a significant improvement is visible in the model area. Appreciation to Mrs. Rohini and her team for their dedication and efforts in developing the model area.</w:t>
      </w:r>
    </w:p>
    <w:p>
      <w:r>
        <w:t>2.</w:t>
        <w:tab/>
        <w:t>The 5S Visual Display Board is yet to be prepared. Additional sorting is required, and a designated Red Tag area needs to be identified.</w:t>
      </w:r>
    </w:p>
    <w:p>
      <w:r>
        <w:t>3.</w:t>
        <w:tab/>
        <w:t>The process of Red Tagging must be followed, including the subsequent conversion into Yellow, Green, and White tags as applicable. Proper maintenance of the Red Tag Register is also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