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initiated.</w:t>
      </w:r>
    </w:p>
    <w:p>
      <w:r>
        <w:t>2. Unwanted items were found in the model area.</w:t>
      </w:r>
    </w:p>
    <w:p>
      <w:r>
        <w:t>3. Labelling of racks is required.</w:t>
      </w:r>
    </w:p>
    <w:p>
      <w:r>
        <w:t>4. Racks need proper partitions for systematic storage.</w:t>
      </w:r>
    </w:p>
    <w:p>
      <w:r>
        <w:t>5. Red tag area needs to be established.</w:t>
      </w:r>
    </w:p>
    <w:p>
      <w:r>
        <w:t>6. Evidence for red tagged items needs to be maintained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