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</w:t>
        <w:tab/>
        <w:t xml:space="preserve">Initiate 1S implementation by establishing a Red Tag system for identification and disposal of unwanted items. </w:t>
      </w:r>
    </w:p>
    <w:p>
      <w:r>
        <w:t>2.</w:t>
        <w:tab/>
        <w:t xml:space="preserve">Improve labeling and segregation of items, as the current arrangement is not organized. </w:t>
      </w:r>
    </w:p>
    <w:p>
      <w:r>
        <w:t>3.</w:t>
        <w:tab/>
        <w:t xml:space="preserve">Arrange all materials systematically to improve accessibility and workplace appearance.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