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Initiate 5S implementation by segregating required and unwanted items.</w:t>
      </w:r>
    </w:p>
    <w:p>
      <w:r>
        <w:t>2.</w:t>
        <w:tab/>
        <w:t>Establish a Red Tag Area and classify unwanted items into Yellow, Green, and White tags after evaluation.</w:t>
      </w:r>
    </w:p>
    <w:p>
      <w:r>
        <w:t>3.</w:t>
        <w:tab/>
        <w:t>Label all items along with their quantities.</w:t>
      </w:r>
    </w:p>
    <w:p>
      <w:r>
        <w:t>4.</w:t>
        <w:tab/>
        <w:t>Prepare and display a 5S Visual Management Board.</w:t>
      </w:r>
    </w:p>
    <w:p>
      <w:r>
        <w:t>5.</w:t>
        <w:tab/>
        <w:t>Store files in a vertical position for easy retrieval.</w:t>
      </w:r>
    </w:p>
    <w:p>
      <w:r>
        <w:t>6.</w:t>
        <w:tab/>
        <w:t>Carry out floor marking and painting wherever required.</w:t>
      </w:r>
    </w:p>
    <w:p>
      <w:r>
        <w:t>7.</w:t>
        <w:tab/>
        <w:t>Prepare, display, and follow the Seiso Calendar.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