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No significant improvement has been observed since the previous audit.</w:t>
      </w:r>
    </w:p>
    <w:p>
      <w:r>
        <w:t>2.</w:t>
        <w:tab/>
        <w:t>Clear materials stored in the Red Tag Area for more than six months and take a decision for disposal/scrapping.</w:t>
      </w:r>
    </w:p>
    <w:p>
      <w:r>
        <w:t>3.</w:t>
        <w:tab/>
        <w:t>Update and maintain the 5S display board regularly.</w:t>
      </w:r>
    </w:p>
    <w:p>
      <w:r>
        <w:t>4.</w:t>
        <w:tab/>
        <w:t>Remove unnecessary items from cupboards and organize the contents.</w:t>
      </w:r>
    </w:p>
    <w:p>
      <w:r>
        <w:t>5.</w:t>
        <w:tab/>
        <w:t>Re-initiate the Red Tagging process and implement 5S practices systematically.</w:t>
      </w:r>
    </w:p>
    <w:p>
      <w:r>
        <w:t>6.</w:t>
        <w:tab/>
        <w:t>Spare items should not be stored in gunny bags, cardboard boxes, or cotton bags unless protection from dust is specifically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