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Implement the Red Tagging system.</w:t>
      </w:r>
    </w:p>
    <w:p>
      <w:r>
        <w:t>2.</w:t>
        <w:tab/>
        <w:t>Maintain files in a vertical position with proper numbering and an updated file index.</w:t>
      </w:r>
    </w:p>
    <w:p>
      <w:r>
        <w:t>3.</w:t>
        <w:tab/>
        <w:t>Display a list of contents outside each cupboard.</w:t>
      </w:r>
    </w:p>
    <w:p>
      <w:r>
        <w:t>4.</w:t>
        <w:tab/>
        <w:t>Label designated locations for items such as fire extinguishers, Oxy-Pac units, and other emergency equipment.</w:t>
      </w:r>
    </w:p>
    <w:p>
      <w:r>
        <w:t>5.</w:t>
        <w:tab/>
        <w:t>Spare items should not be stored in gunny bags, cardboard boxes, or cotton bags unless protection from dust is specifically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