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has implemented 1S better than the previous audit but further segregation in many racks required.</w:t>
      </w:r>
    </w:p>
    <w:p>
      <w:r>
        <w:t>2. The visual display board placed should follow the recommended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