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and 2S activities have been implemented effectively.</w:t>
      </w:r>
    </w:p>
    <w:p>
      <w:r>
        <w:t>Partitions are required in some cupboards for better material organization.</w:t>
      </w:r>
    </w:p>
    <w:p>
      <w:r>
        <w:t>Red Tagged items list is not readily available during audit.</w:t>
      </w:r>
    </w:p>
    <w:p>
      <w:r>
        <w:t>3S implementation is pending and needs to be followed with defined frequency.</w:t>
      </w:r>
    </w:p>
    <w:p>
      <w:r>
        <w:t>Documented records of 5S KPI performance are not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