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initiated.</w:t>
      </w:r>
    </w:p>
    <w:p>
      <w:r>
        <w:t>2. Red tag area needs to be established.</w:t>
      </w:r>
    </w:p>
    <w:p>
      <w:r>
        <w:t>3. 5S display board is required.</w:t>
      </w:r>
    </w:p>
    <w:p>
      <w:r>
        <w:t>4. Items are not arranged properly in some racks.</w:t>
      </w:r>
    </w:p>
    <w:p>
      <w:r>
        <w:t>5. Red tag and disposal register needs to be maintained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