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No significant improvement observed in 5S implementation.</w:t>
      </w:r>
    </w:p>
    <w:p>
      <w:r>
        <w:t>2.</w:t>
        <w:tab/>
        <w:t>Initiate Red Tagging activities and identify a Red Tag Area.</w:t>
      </w:r>
    </w:p>
    <w:p>
      <w:r>
        <w:t>3.</w:t>
        <w:tab/>
        <w:t>Prepare and update the 5S Visual Management Board.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