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implemented.</w:t>
      </w:r>
    </w:p>
    <w:p>
      <w:r>
        <w:t>2. 5S Board is available but not maintained in the prescribed format.</w:t>
      </w:r>
    </w:p>
    <w:p>
      <w:r>
        <w:t>3. Red Tag register and 5S KPI tracking are not maintained.</w:t>
      </w:r>
    </w:p>
    <w:p>
      <w:r>
        <w:t>4. Dedicated Red Tag area is not available.</w:t>
      </w:r>
    </w:p>
    <w:p>
      <w:r>
        <w:t>5. Material list is not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