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1S and 2S activities have been initiated but not fully completed.</w:t>
      </w:r>
    </w:p>
    <w:p>
      <w:r>
        <w:t>2. Dedicated Red Tag area is not available.</w:t>
      </w:r>
    </w:p>
    <w:p>
      <w:r>
        <w:t>3. Red Tag register is not maintained.</w:t>
      </w:r>
    </w:p>
    <w:p>
      <w:r>
        <w:t>4. 5S Board with prescribed KPIs, Red Tag list, and criteria is not available.</w:t>
      </w:r>
    </w:p>
    <w:p>
      <w:r>
        <w:t>5. Many unsorted items are observed in the model area.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