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The team has effectively carried out 1S and 2S activities, which is noted as a positive practice and reflects good awareness of workplace organization.</w:t>
      </w:r>
    </w:p>
    <w:p>
      <w:r>
        <w:t>The Visual Board needs to be updated regularly to include red-tagged items along with their disposal status/records for better tracking and transparency.</w:t>
      </w:r>
    </w:p>
    <w:p>
      <w:r>
        <w:t>Racks should be properly partitioned and clearly labeled to ensure correct material identification, easy retrieval, and prevention of mix-ups.</w:t>
      </w:r>
    </w:p>
    <w:p>
      <w:r>
        <w:t>The 5S board should be properly mounted on the wall and not kept on the ground, to improve visibility, accessibility, and compliance with 5S standards.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