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1S and 2S activities have been implemented; however, some unsorted items are still observed in the model area.</w:t>
      </w:r>
    </w:p>
    <w:p>
      <w:r>
        <w:t>2. 5S Board is available but not maintained as per the prescribed format.</w:t>
      </w:r>
    </w:p>
    <w:p>
      <w:r>
        <w:t>3. Red Tag register is not maintained, and 5S KPI tracking is not available.</w:t>
      </w:r>
    </w:p>
    <w:p>
      <w:r>
        <w:t>4. Some items are kept in incorrect locations.</w:t>
      </w:r>
    </w:p>
    <w:p>
      <w:r>
        <w:t>5. Labeling is missing on certain cupboards.</w:t>
      </w:r>
    </w:p>
    <w:p>
      <w:r>
        <w:t>6. Dedicated Red Tag area is not available.</w:t>
      </w:r>
    </w:p>
    <w:p>
      <w:r>
        <w:t>7. Material list is available but requires updating to include newly added materials.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