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Prepare and display a 5S Visual Management Board.</w:t>
      </w:r>
    </w:p>
    <w:p>
      <w:r>
        <w:t>2.</w:t>
        <w:tab/>
        <w:t>Carry out segregation of items.</w:t>
      </w:r>
    </w:p>
    <w:p>
      <w:r>
        <w:t>3.</w:t>
        <w:tab/>
        <w:t>Identify and mark a designated Red Tag Area.</w:t>
      </w:r>
    </w:p>
    <w:p>
      <w:r>
        <w:t>4.</w:t>
        <w:tab/>
        <w:t>Remove unnecessary bags and damaged cotton boxes.</w:t>
      </w:r>
    </w:p>
    <w:p>
      <w:r>
        <w:t>5.</w:t>
        <w:tab/>
        <w:t>Conduct Red Tagging and dispose of unwanted items.</w:t>
      </w:r>
    </w:p>
    <w:p>
      <w:r>
        <w:t>6.</w:t>
        <w:tab/>
        <w:t>Remove polythene bags from the area.</w:t>
      </w:r>
    </w:p>
    <w:p>
      <w:r>
        <w:t>7.</w:t>
        <w:tab/>
        <w:t>Ensure proper and neat stacking of spare items.</w:t>
      </w:r>
    </w:p>
    <w:p>
      <w:r>
        <w:t>8.</w:t>
        <w:tab/>
        <w:t>Separate multiple items stored in a single bin.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