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effectively.</w:t>
      </w:r>
    </w:p>
    <w:p>
      <w:r>
        <w:t>2. Some items require tagging and need to be shifted to the Red Tag area.</w:t>
      </w:r>
    </w:p>
    <w:p>
      <w:r>
        <w:t>3. Red Tag register is not maintained, and 5S KPIs are not displayed on the board.</w:t>
      </w:r>
    </w:p>
    <w:p>
      <w:r>
        <w:t>4. 3S has been initiated; however, Seiso calendar is not maintained.</w:t>
      </w:r>
    </w:p>
    <w:p>
      <w:r>
        <w:t>5.Disposal Register is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