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activities have been implemented but not fully completed.</w:t>
      </w:r>
    </w:p>
    <w:p>
      <w:r>
        <w:t>2. Red Tag register is not maintained.</w:t>
      </w:r>
    </w:p>
    <w:p>
      <w:r>
        <w:t>3. Dedicated Red Tag area is not available.</w:t>
      </w:r>
    </w:p>
    <w:p>
      <w:r>
        <w:t>4. Some unsorted items are observed in the model area.</w:t>
      </w:r>
    </w:p>
    <w:p>
      <w:r>
        <w:t>5. 5S Board is not available; Red Tag list and 5S KPIs are not displayed as per prescribed format.</w:t>
      </w:r>
    </w:p>
    <w:p>
      <w:r>
        <w:t>6. Material list for sorted items is not maintained.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