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Identify a Red Tag Area and conduct Red Tagging activities.</w:t>
      </w:r>
    </w:p>
    <w:p>
      <w:r>
        <w:t>2.</w:t>
        <w:tab/>
        <w:t>Clean the entire model area and eliminate dust sources through necessary modifications.</w:t>
      </w:r>
    </w:p>
    <w:p>
      <w:r>
        <w:t>3.</w:t>
        <w:tab/>
        <w:t>Arrange and stock items systematically.</w:t>
      </w:r>
    </w:p>
    <w:p>
      <w:r>
        <w:t>4.</w:t>
        <w:tab/>
        <w:t>Verify whether storage of paints and primer tins is permitted in the area.</w:t>
      </w:r>
    </w:p>
    <w:p>
      <w:r>
        <w:t>5.</w:t>
        <w:tab/>
        <w:t>Remove unnecessary items and shift them to the Red Tag Area.</w:t>
      </w:r>
    </w:p>
    <w:p>
      <w:r>
        <w:t>6.</w:t>
        <w:tab/>
        <w:t>Label all items with quantity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