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(Sort) implementation is largely effective – Most parts of the model area are well sorted, demonstrating good effort by the team. However, further sorting is required in a few areas to achieve full compliance.</w:t>
      </w:r>
    </w:p>
    <w:p/>
    <w:p>
      <w:r>
        <w:t>Improper item placement observed – Some items are placed in incorrect racks, which may lead to confusion and inefficiencies; these should be relocated to their designated locations.</w:t>
      </w:r>
    </w:p>
    <w:p/>
    <w:p>
      <w:r>
        <w:t>Partial gaps in standardization – While sorting is good overall, consistency across all racks and sections needs improvement.</w:t>
      </w:r>
    </w:p>
    <w:p/>
    <w:p>
      <w:r>
        <w:t>5S Visual Display Board not available – A 5S visual display board should be installed to display standards, ownership, and sustainment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