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The tools and equipments are sorted to an extent. </w:t>
      </w:r>
    </w:p>
    <w:p>
      <w:r>
        <w:t>2. The Red Tag area should be identified.</w:t>
      </w:r>
    </w:p>
    <w:p>
      <w:r>
        <w:t>3. Some of the tools are to be labelled as per their size.</w:t>
      </w:r>
    </w:p>
    <w:p>
      <w:r>
        <w:t>4. 1S Visual Display Board is missing.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