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did much better compared to the previous audit, still further segregation is to be done.</w:t>
      </w:r>
    </w:p>
    <w:p>
      <w:r>
        <w:t>2. Red tag area is identified but the area should be labelled.</w:t>
      </w:r>
    </w:p>
    <w:p>
      <w:r>
        <w:t>3. 5S visual display board is placed.</w:t>
      </w:r>
    </w:p>
    <w:p>
      <w:r>
        <w:t>4. Labelling of all items kept in racks should be carried out.</w:t>
      </w:r>
    </w:p>
    <w:p>
      <w:r>
        <w:t>5. The process of Red Tagging must be followed, including the subsequent conversion into Yellow, Green, and White tags as applicable. Proper maintenance of the Red Tag Register is also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