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Move non-working items from racks to the Red Tag Area.</w:t>
      </w:r>
    </w:p>
    <w:p>
      <w:r>
        <w:t>2.</w:t>
        <w:tab/>
        <w:t>De-clutter and organize rack storage.</w:t>
      </w:r>
    </w:p>
    <w:p>
      <w:r>
        <w:t>3.</w:t>
        <w:tab/>
        <w:t>Remove spare items stored on the floor.</w:t>
      </w:r>
    </w:p>
    <w:p>
      <w:r>
        <w:t>4.</w:t>
        <w:tab/>
        <w:t>Use partition plates and labeling when storing multiple items in one bin.</w:t>
      </w:r>
    </w:p>
    <w:p>
      <w:r>
        <w:t>5.</w:t>
        <w:tab/>
        <w:t>Display and maintain a Seiso Calendar with check sheets.</w:t>
      </w:r>
    </w:p>
    <w:p>
      <w:r>
        <w:t>6.</w:t>
        <w:tab/>
        <w:t>Arrange, clean, and display spare item lists on racks.</w:t>
      </w:r>
    </w:p>
    <w:p>
      <w:r>
        <w:t>7.</w:t>
        <w:tab/>
        <w:t>Re-initiate the Red Tagging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