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and 2S activities have been implemented effectively.</w:t>
      </w:r>
    </w:p>
    <w:p>
      <w:r>
        <w:t>Some racks require labelling, and material lists are not maintained for all cupboards.</w:t>
      </w:r>
    </w:p>
    <w:p>
      <w:r>
        <w:t>During the audit, some helmets were not stored in their allocated locations.</w:t>
      </w:r>
    </w:p>
    <w:p>
      <w:r>
        <w:t>Incorrect tagging has been observed on certain items.</w:t>
      </w:r>
    </w:p>
    <w:p>
      <w:r>
        <w:t>In the Core Library, labeling is not available, and the materials register is not maintained.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