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(Sort) not formally implemented – Items appear to be arranged without following the structured 5S methodology, leading to inconsistency in organization.</w:t>
      </w:r>
    </w:p>
    <w:p/>
    <w:p>
      <w:r>
        <w:t>Red tagging activity not carried out – Unwanted or unnecessary items, files, and registers have not been identified or separated using red tags.</w:t>
      </w:r>
    </w:p>
    <w:p/>
    <w:p>
      <w:r>
        <w:t>Incomplete sorting in model area – Certain parts of the model area remain unsorted, indicating partial or informal arrangement.</w:t>
      </w:r>
    </w:p>
    <w:p/>
    <w:p>
      <w:r>
        <w:t>Lack of proper labeling – Files, shelves, and storage locations are not clearly labeled, making identification and retrieval difficult.</w:t>
      </w:r>
    </w:p>
    <w:p/>
    <w:p>
      <w:r>
        <w:t>Files not stored as per standard practice – Files are not consistently kept in a vertical arrangement, affecting accessibility and space utilization.</w:t>
      </w:r>
    </w:p>
    <w:p/>
    <w:p>
      <w:r>
        <w:t>Absence of a 5S Visual Display Board – No visual board is available to display 5S standards, roles, audit scores, or improvement actions.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