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initiated the implementation of 5S, but no noticeable improvement is observed.</w:t>
      </w:r>
    </w:p>
    <w:p>
      <w:r>
        <w:t>2. A 5S Visual Display Board is required.</w:t>
      </w:r>
    </w:p>
    <w:p>
      <w:r>
        <w:t>3. Red tag area is identified but further tagging is required.</w:t>
      </w:r>
    </w:p>
    <w:p>
      <w:r>
        <w:t>4. Red tagging of unwanted items by the 5S team members must be carried out, followed by the appropriate conversion to Yellow, Green, and White tags.</w:t>
      </w:r>
    </w:p>
    <w:p>
      <w:r>
        <w:t>5. Further segregation of wanted and unwanted should be done.</w:t>
      </w:r>
    </w:p>
    <w:p>
      <w:r>
        <w:t>6. Files and registers should be placed vertically.</w:t>
      </w:r>
    </w:p>
    <w:p>
      <w:r>
        <w:t>7. Tools should be further segregated based on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