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1S and 2S activities have been initiated and require further implementation.</w:t>
      </w:r>
    </w:p>
    <w:p>
      <w:r>
        <w:t>2. Material list needs to be prepared and maintained.</w:t>
      </w:r>
    </w:p>
    <w:p>
      <w:r>
        <w:t>3. 5S Board needs to be displayed and maintained as per the prescribed format.</w:t>
      </w:r>
    </w:p>
    <w:p>
      <w:r>
        <w:t>4. Red Tag register and disposal register need to be maintained.</w:t>
      </w:r>
    </w:p>
    <w:p>
      <w:r>
        <w:t>5. Unsorted items are observed in the model area and need segregation.</w:t>
      </w:r>
    </w:p>
    <w:p>
      <w:r>
        <w:t>6. Proper labelling is required on racks for clear identification.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