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Avoid storing the same item in multiple locations; maintain a single designated storage location.</w:t>
      </w:r>
    </w:p>
    <w:p>
      <w:r>
        <w:t>2.</w:t>
        <w:tab/>
        <w:t>Spare items should not be stored in gunny bags, cardboard boxes, or cotton bags unless protection from dust is specifically required.</w:t>
      </w:r>
    </w:p>
    <w:p>
      <w:r>
        <w:t>3.</w:t>
        <w:tab/>
        <w:t>Maintain files in a vertical position with proper indexing.</w:t>
      </w:r>
    </w:p>
    <w:p>
      <w:r>
        <w:t>4.</w:t>
        <w:tab/>
        <w:t>Do not store multiple spare items in a single bin.</w:t>
      </w:r>
    </w:p>
    <w:p>
      <w:r>
        <w:t>5.</w:t>
        <w:tab/>
        <w:t>Ensure all rack bins have proper identification labels.</w:t>
      </w:r>
    </w:p>
    <w:p>
      <w:r>
        <w:t>6.</w:t>
        <w:tab/>
        <w:t>Maintain rack bins in good condition and store all spare items appropriately within them.</w:t>
      </w:r>
    </w:p>
    <w:p>
      <w:r>
        <w:t>7.</w:t>
        <w:tab/>
        <w:t>Keep all cleaning materials in a designated location and provide proper labeling.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