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Reviewed the Mechanical and Electrical stores, where 1S implementation has not yet been initiated.</w:t>
      </w:r>
    </w:p>
    <w:p>
      <w:r>
        <w:t>2.</w:t>
        <w:tab/>
        <w:t>The Red Tag area has been created, but the rest of the tagging process is yet to be implemented.</w:t>
      </w:r>
    </w:p>
    <w:p>
      <w:r>
        <w:t>3.</w:t>
        <w:tab/>
        <w:t>In the stores, parts/spares are mixed in bins — segregation is required by making partitions and proper labeling.</w:t>
      </w:r>
    </w:p>
    <w:p>
      <w:r>
        <w:t>4.</w:t>
        <w:tab/>
        <w:t>The same system should be maintained in an Excel sheet or register.</w:t>
      </w:r>
    </w:p>
    <w:p>
      <w:r>
        <w:t>5.</w:t>
        <w:tab/>
        <w:t>1S Visual Display Board is missing.</w:t>
      </w:r>
    </w:p>
    <w:p>
      <w:r>
        <w:t>6.</w:t>
        <w:tab/>
        <w:t>Books should be arranged vertically for better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