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initiated.</w:t>
      </w:r>
    </w:p>
    <w:p>
      <w:r>
        <w:t>2. Red tag area and red tag register need to be established.</w:t>
      </w:r>
    </w:p>
    <w:p>
      <w:r>
        <w:t>3. Some unwanted items were found in the model area during the audit.</w:t>
      </w:r>
    </w:p>
    <w:p>
      <w:r>
        <w:t>4. Labelling is required for some racks and cupboards.</w:t>
      </w:r>
    </w:p>
    <w:p>
      <w:r>
        <w:t>5. Material list needs to be prepared for all racks, and only the listed materials should be placed in the respective racks.</w:t>
      </w:r>
    </w:p>
    <w:p>
      <w:r>
        <w:t>6. 3S activities need to be initiated.</w:t>
      </w:r>
    </w:p>
    <w:p>
      <w:r>
        <w:t>7. Disposal register needs to be maintained.</w:t>
      </w:r>
    </w:p>
    <w:p>
      <w:r>
        <w:t>8. 5S KPI needs to be displayed on the 5S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