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1S and 2S activities have been implemented well.</w:t>
      </w:r>
    </w:p>
    <w:p>
      <w:r>
        <w:t>2. Red tag area needs to be identified.</w:t>
      </w:r>
    </w:p>
    <w:p>
      <w:r>
        <w:t>3. Racks require proper labelling with a material list.</w:t>
      </w:r>
    </w:p>
    <w:p>
      <w:r>
        <w:t>4. A separate 5S board needs to be maintained.</w:t>
      </w:r>
    </w:p>
    <w:p>
      <w:r>
        <w:t>5. 5S KPI needs to be maintained and displayed.</w:t>
      </w:r>
    </w:p>
    <w:p>
      <w:r>
        <w:t>6. Improvement comments sheet needs to be displayed on the 5S board.</w:t>
      </w:r>
    </w:p>
    <w:p>
      <w:r>
        <w:t>7. Some files were not kept in their designated places during the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