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Visual display board is not available at the workplace.</w:t>
      </w:r>
    </w:p>
    <w:p/>
    <w:p>
      <w:r>
        <w:t>Segregation of wanted and unwanted items has been carried out; however, a designated Red Tag Area is not available.</w:t>
      </w:r>
    </w:p>
    <w:p/>
    <w:p>
      <w:r>
        <w:t>Proper arrangement and labeling of items are missing, and mixed storage of different items was observed.</w:t>
      </w:r>
    </w:p>
    <w:p/>
    <w:p>
      <w:r>
        <w:t>Implementation of BOT 1S and 2S across the entire floor is yet to be carried out.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