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has initiated the implementation of 1S but further sorting of things is required.</w:t>
      </w:r>
    </w:p>
    <w:p>
      <w:r>
        <w:t>2. All the racks should be labelled and items should be placed accordingly.</w:t>
      </w:r>
    </w:p>
    <w:p>
      <w:r>
        <w:t>3. The process of Red Tagging must be followed, including the subsequent conversion into Yellow, Green, and White tags as applicable.</w:t>
      </w:r>
    </w:p>
    <w:p>
      <w:r>
        <w:t>4. A designated Red tag area should be identified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