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1.</w:t>
        <w:tab/>
        <w:t>Replace cotton boxes with suitable storage bins.</w:t>
      </w:r>
    </w:p>
    <w:p>
      <w:r>
        <w:t>2.</w:t>
        <w:tab/>
        <w:t>Avoid storing items in gunny bags unless essential.</w:t>
      </w:r>
    </w:p>
    <w:p>
      <w:r>
        <w:t>3.</w:t>
        <w:tab/>
        <w:t>Re-conduct 1S (Sort) Red Tagging activities.</w:t>
      </w:r>
    </w:p>
    <w:p>
      <w:r>
        <w:t>4.</w:t>
        <w:tab/>
        <w:t>Display spare item lists on racks.</w:t>
      </w:r>
    </w:p>
    <w:p>
      <w:r>
        <w:t>5.</w:t>
        <w:tab/>
        <w:t>Complete floor marking using radium stickers.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