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All items are arranged in place while further segregation should be carried out.</w:t>
      </w:r>
    </w:p>
    <w:p>
      <w:r>
        <w:t>2. The 5S Visual Display Board is yet to be prepared. Additional sorting is required, and a designated Red Tag area needs to be identified.</w:t>
      </w:r>
    </w:p>
    <w:p>
      <w:r>
        <w:t>3. All items kept behind the shelves should be organized.</w:t>
      </w:r>
    </w:p>
    <w:p>
      <w:r>
        <w:t>4. All the racks should be properly labelled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