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have been initiated.</w:t>
      </w:r>
    </w:p>
    <w:p>
      <w:r>
        <w:t>2. Red Tag board is required.</w:t>
      </w:r>
    </w:p>
    <w:p>
      <w:r>
        <w:t>3. Red Tag area is required.</w:t>
      </w:r>
    </w:p>
    <w:p>
      <w:r>
        <w:t>4. More unsorted items were found in the model area.</w:t>
      </w:r>
    </w:p>
    <w:p>
      <w:r>
        <w:t>5. Some cupboards are not labeled and arranged properly.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